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66C6" w:rsidRDefault="003466C6" w:rsidP="003466C6">
      <w:pPr>
        <w:jc w:val="center"/>
        <w:rPr>
          <w:rFonts w:ascii="Times New Roman" w:hAnsi="Times New Roman" w:cs="Times New Roman"/>
          <w:b/>
          <w:bCs/>
          <w:sz w:val="28"/>
          <w:szCs w:val="28"/>
        </w:rPr>
      </w:pPr>
      <w:r w:rsidRPr="003466C6">
        <w:rPr>
          <w:rFonts w:ascii="Times New Roman" w:hAnsi="Times New Roman" w:cs="Times New Roman"/>
          <w:b/>
          <w:bCs/>
          <w:sz w:val="28"/>
          <w:szCs w:val="28"/>
        </w:rPr>
        <w:t xml:space="preserve">Analysis of </w:t>
      </w:r>
      <w:proofErr w:type="spellStart"/>
      <w:r w:rsidRPr="003466C6">
        <w:rPr>
          <w:rFonts w:ascii="Times New Roman" w:hAnsi="Times New Roman" w:cs="Times New Roman"/>
          <w:b/>
          <w:bCs/>
          <w:sz w:val="28"/>
          <w:szCs w:val="28"/>
        </w:rPr>
        <w:t>OhioLINK</w:t>
      </w:r>
      <w:proofErr w:type="spellEnd"/>
      <w:r w:rsidRPr="003466C6">
        <w:rPr>
          <w:rFonts w:ascii="Times New Roman" w:hAnsi="Times New Roman" w:cs="Times New Roman"/>
          <w:b/>
          <w:bCs/>
          <w:sz w:val="28"/>
          <w:szCs w:val="28"/>
        </w:rPr>
        <w:t xml:space="preserve"> Subject Collections</w:t>
      </w:r>
    </w:p>
    <w:p w:rsidR="003466C6" w:rsidRDefault="003466C6" w:rsidP="003466C6">
      <w:pPr>
        <w:jc w:val="center"/>
        <w:rPr>
          <w:rFonts w:ascii="Times New Roman" w:hAnsi="Times New Roman" w:cs="Times New Roman"/>
          <w:b/>
          <w:bCs/>
          <w:sz w:val="28"/>
          <w:szCs w:val="28"/>
        </w:rPr>
      </w:pPr>
    </w:p>
    <w:p w:rsidR="003466C6" w:rsidRDefault="003466C6" w:rsidP="003466C6">
      <w:pPr>
        <w:rPr>
          <w:rFonts w:ascii="Times New Roman" w:hAnsi="Times New Roman" w:cs="Times New Roman"/>
          <w:bCs/>
          <w:sz w:val="24"/>
          <w:szCs w:val="24"/>
        </w:rPr>
      </w:pPr>
      <w:r>
        <w:rPr>
          <w:rFonts w:ascii="Times New Roman" w:hAnsi="Times New Roman" w:cs="Times New Roman"/>
          <w:bCs/>
          <w:sz w:val="24"/>
          <w:szCs w:val="24"/>
        </w:rPr>
        <w:t xml:space="preserve">The </w:t>
      </w:r>
      <w:r w:rsidRPr="003466C6">
        <w:rPr>
          <w:rFonts w:ascii="Times New Roman" w:hAnsi="Times New Roman" w:cs="Times New Roman"/>
          <w:bCs/>
          <w:sz w:val="24"/>
          <w:szCs w:val="24"/>
        </w:rPr>
        <w:t xml:space="preserve">Analysis of </w:t>
      </w:r>
      <w:proofErr w:type="spellStart"/>
      <w:r w:rsidRPr="003466C6">
        <w:rPr>
          <w:rFonts w:ascii="Times New Roman" w:hAnsi="Times New Roman" w:cs="Times New Roman"/>
          <w:bCs/>
          <w:sz w:val="24"/>
          <w:szCs w:val="24"/>
        </w:rPr>
        <w:t>OhioLINK</w:t>
      </w:r>
      <w:proofErr w:type="spellEnd"/>
      <w:r w:rsidRPr="003466C6">
        <w:rPr>
          <w:rFonts w:ascii="Times New Roman" w:hAnsi="Times New Roman" w:cs="Times New Roman"/>
          <w:bCs/>
          <w:sz w:val="24"/>
          <w:szCs w:val="24"/>
        </w:rPr>
        <w:t xml:space="preserve"> Subject Collections</w:t>
      </w:r>
      <w:r>
        <w:rPr>
          <w:rFonts w:ascii="Times New Roman" w:hAnsi="Times New Roman" w:cs="Times New Roman"/>
          <w:bCs/>
          <w:sz w:val="24"/>
          <w:szCs w:val="24"/>
        </w:rPr>
        <w:t xml:space="preserve"> is grouped into nine broad subject groups:</w:t>
      </w:r>
    </w:p>
    <w:p w:rsidR="003466C6" w:rsidRDefault="003466C6" w:rsidP="003466C6">
      <w:pPr>
        <w:rPr>
          <w:rFonts w:ascii="Times New Roman" w:hAnsi="Times New Roman" w:cs="Times New Roman"/>
          <w:bCs/>
          <w:sz w:val="24"/>
          <w:szCs w:val="24"/>
        </w:rPr>
      </w:pPr>
    </w:p>
    <w:p w:rsidR="003466C6" w:rsidRPr="003466C6" w:rsidRDefault="003466C6" w:rsidP="003466C6">
      <w:pPr>
        <w:pStyle w:val="ListParagraph"/>
        <w:numPr>
          <w:ilvl w:val="0"/>
          <w:numId w:val="7"/>
        </w:numPr>
        <w:ind w:left="1440"/>
        <w:rPr>
          <w:rFonts w:ascii="Times New Roman" w:hAnsi="Times New Roman" w:cs="Times New Roman"/>
          <w:bCs/>
          <w:sz w:val="24"/>
          <w:szCs w:val="24"/>
        </w:rPr>
      </w:pPr>
      <w:r w:rsidRPr="003466C6">
        <w:rPr>
          <w:rFonts w:ascii="Times New Roman" w:hAnsi="Times New Roman" w:cs="Times New Roman"/>
          <w:bCs/>
          <w:sz w:val="24"/>
          <w:szCs w:val="24"/>
        </w:rPr>
        <w:t>Genre,</w:t>
      </w:r>
    </w:p>
    <w:p w:rsidR="003466C6" w:rsidRPr="003466C6" w:rsidRDefault="003466C6" w:rsidP="003466C6">
      <w:pPr>
        <w:pStyle w:val="ListParagraph"/>
        <w:numPr>
          <w:ilvl w:val="0"/>
          <w:numId w:val="7"/>
        </w:numPr>
        <w:ind w:left="1440"/>
        <w:rPr>
          <w:rFonts w:ascii="Times New Roman" w:hAnsi="Times New Roman" w:cs="Times New Roman"/>
          <w:bCs/>
          <w:sz w:val="24"/>
          <w:szCs w:val="24"/>
        </w:rPr>
      </w:pPr>
      <w:r w:rsidRPr="003466C6">
        <w:rPr>
          <w:rFonts w:ascii="Times New Roman" w:hAnsi="Times New Roman" w:cs="Times New Roman"/>
          <w:bCs/>
          <w:sz w:val="24"/>
          <w:szCs w:val="24"/>
        </w:rPr>
        <w:t>Arts &amp; Recreation,</w:t>
      </w:r>
    </w:p>
    <w:p w:rsidR="003466C6" w:rsidRPr="003466C6" w:rsidRDefault="003466C6" w:rsidP="003466C6">
      <w:pPr>
        <w:pStyle w:val="ListParagraph"/>
        <w:numPr>
          <w:ilvl w:val="0"/>
          <w:numId w:val="7"/>
        </w:numPr>
        <w:ind w:left="1440"/>
        <w:rPr>
          <w:rFonts w:ascii="Times New Roman" w:hAnsi="Times New Roman" w:cs="Times New Roman"/>
          <w:bCs/>
          <w:sz w:val="24"/>
          <w:szCs w:val="24"/>
        </w:rPr>
      </w:pPr>
      <w:r w:rsidRPr="003466C6">
        <w:rPr>
          <w:rFonts w:ascii="Times New Roman" w:hAnsi="Times New Roman" w:cs="Times New Roman"/>
          <w:bCs/>
          <w:sz w:val="24"/>
          <w:szCs w:val="24"/>
        </w:rPr>
        <w:t>Business &amp; Economics,</w:t>
      </w:r>
    </w:p>
    <w:p w:rsidR="003466C6" w:rsidRPr="003466C6" w:rsidRDefault="003466C6" w:rsidP="003466C6">
      <w:pPr>
        <w:pStyle w:val="ListParagraph"/>
        <w:numPr>
          <w:ilvl w:val="0"/>
          <w:numId w:val="7"/>
        </w:numPr>
        <w:ind w:left="1440"/>
        <w:rPr>
          <w:rFonts w:ascii="Times New Roman" w:hAnsi="Times New Roman" w:cs="Times New Roman"/>
          <w:bCs/>
          <w:sz w:val="24"/>
          <w:szCs w:val="24"/>
        </w:rPr>
      </w:pPr>
      <w:r w:rsidRPr="003466C6">
        <w:rPr>
          <w:rFonts w:ascii="Times New Roman" w:hAnsi="Times New Roman" w:cs="Times New Roman"/>
          <w:bCs/>
          <w:sz w:val="24"/>
          <w:szCs w:val="24"/>
        </w:rPr>
        <w:t>History &amp; Geography,</w:t>
      </w:r>
    </w:p>
    <w:p w:rsidR="003466C6" w:rsidRPr="003466C6" w:rsidRDefault="003466C6" w:rsidP="003466C6">
      <w:pPr>
        <w:pStyle w:val="ListParagraph"/>
        <w:numPr>
          <w:ilvl w:val="0"/>
          <w:numId w:val="7"/>
        </w:numPr>
        <w:ind w:left="1440"/>
        <w:rPr>
          <w:rFonts w:ascii="Times New Roman" w:hAnsi="Times New Roman" w:cs="Times New Roman"/>
          <w:bCs/>
          <w:sz w:val="24"/>
          <w:szCs w:val="24"/>
        </w:rPr>
      </w:pPr>
      <w:r w:rsidRPr="003466C6">
        <w:rPr>
          <w:rFonts w:ascii="Times New Roman" w:hAnsi="Times New Roman" w:cs="Times New Roman"/>
          <w:bCs/>
          <w:sz w:val="24"/>
          <w:szCs w:val="24"/>
        </w:rPr>
        <w:t>Language &amp; Literature,</w:t>
      </w:r>
    </w:p>
    <w:p w:rsidR="003466C6" w:rsidRPr="003466C6" w:rsidRDefault="003466C6" w:rsidP="003466C6">
      <w:pPr>
        <w:pStyle w:val="ListParagraph"/>
        <w:numPr>
          <w:ilvl w:val="0"/>
          <w:numId w:val="7"/>
        </w:numPr>
        <w:ind w:left="1440"/>
        <w:rPr>
          <w:rFonts w:ascii="Times New Roman" w:hAnsi="Times New Roman" w:cs="Times New Roman"/>
          <w:bCs/>
          <w:sz w:val="24"/>
          <w:szCs w:val="24"/>
        </w:rPr>
      </w:pPr>
      <w:r w:rsidRPr="003466C6">
        <w:rPr>
          <w:rFonts w:ascii="Times New Roman" w:hAnsi="Times New Roman" w:cs="Times New Roman"/>
          <w:bCs/>
          <w:sz w:val="24"/>
          <w:szCs w:val="24"/>
        </w:rPr>
        <w:t>Science &amp; Technology,</w:t>
      </w:r>
    </w:p>
    <w:p w:rsidR="003466C6" w:rsidRPr="003466C6" w:rsidRDefault="003466C6" w:rsidP="003466C6">
      <w:pPr>
        <w:pStyle w:val="ListParagraph"/>
        <w:numPr>
          <w:ilvl w:val="0"/>
          <w:numId w:val="7"/>
        </w:numPr>
        <w:ind w:left="1440"/>
        <w:rPr>
          <w:rFonts w:ascii="Times New Roman" w:hAnsi="Times New Roman" w:cs="Times New Roman"/>
          <w:bCs/>
          <w:sz w:val="24"/>
          <w:szCs w:val="24"/>
        </w:rPr>
      </w:pPr>
      <w:r w:rsidRPr="003466C6">
        <w:rPr>
          <w:rFonts w:ascii="Times New Roman" w:hAnsi="Times New Roman" w:cs="Times New Roman"/>
          <w:bCs/>
          <w:sz w:val="24"/>
          <w:szCs w:val="24"/>
        </w:rPr>
        <w:t>Social Science,</w:t>
      </w:r>
    </w:p>
    <w:p w:rsidR="003466C6" w:rsidRPr="003466C6" w:rsidRDefault="003466C6" w:rsidP="003466C6">
      <w:pPr>
        <w:pStyle w:val="ListParagraph"/>
        <w:numPr>
          <w:ilvl w:val="0"/>
          <w:numId w:val="7"/>
        </w:numPr>
        <w:ind w:left="1440"/>
        <w:rPr>
          <w:rFonts w:ascii="Times New Roman" w:hAnsi="Times New Roman" w:cs="Times New Roman"/>
          <w:bCs/>
          <w:sz w:val="24"/>
          <w:szCs w:val="24"/>
        </w:rPr>
      </w:pPr>
      <w:r w:rsidRPr="003466C6">
        <w:rPr>
          <w:rFonts w:ascii="Times New Roman" w:hAnsi="Times New Roman" w:cs="Times New Roman"/>
          <w:bCs/>
          <w:sz w:val="24"/>
          <w:szCs w:val="24"/>
        </w:rPr>
        <w:t>Medicine,</w:t>
      </w:r>
    </w:p>
    <w:p w:rsidR="003466C6" w:rsidRDefault="003466C6" w:rsidP="003466C6">
      <w:pPr>
        <w:pStyle w:val="ListParagraph"/>
        <w:numPr>
          <w:ilvl w:val="0"/>
          <w:numId w:val="7"/>
        </w:numPr>
        <w:ind w:left="1440"/>
        <w:rPr>
          <w:rFonts w:ascii="Times New Roman" w:hAnsi="Times New Roman" w:cs="Times New Roman"/>
          <w:bCs/>
          <w:sz w:val="24"/>
          <w:szCs w:val="24"/>
        </w:rPr>
      </w:pPr>
      <w:r w:rsidRPr="003466C6">
        <w:rPr>
          <w:rFonts w:ascii="Times New Roman" w:hAnsi="Times New Roman" w:cs="Times New Roman"/>
          <w:bCs/>
          <w:sz w:val="24"/>
          <w:szCs w:val="24"/>
        </w:rPr>
        <w:t>Law.</w:t>
      </w:r>
    </w:p>
    <w:p w:rsidR="003466C6" w:rsidRDefault="003466C6" w:rsidP="003466C6">
      <w:pPr>
        <w:rPr>
          <w:rFonts w:ascii="Times New Roman" w:hAnsi="Times New Roman" w:cs="Times New Roman"/>
          <w:bCs/>
          <w:sz w:val="24"/>
          <w:szCs w:val="24"/>
        </w:rPr>
      </w:pPr>
    </w:p>
    <w:p w:rsidR="00996BCA" w:rsidRDefault="003466C6" w:rsidP="005F2127">
      <w:pPr>
        <w:rPr>
          <w:rFonts w:ascii="Times New Roman" w:hAnsi="Times New Roman" w:cs="Times New Roman"/>
          <w:bCs/>
          <w:sz w:val="24"/>
          <w:szCs w:val="24"/>
        </w:rPr>
      </w:pPr>
      <w:r>
        <w:rPr>
          <w:rFonts w:ascii="Times New Roman" w:hAnsi="Times New Roman" w:cs="Times New Roman"/>
          <w:bCs/>
          <w:sz w:val="24"/>
          <w:szCs w:val="24"/>
        </w:rPr>
        <w:t xml:space="preserve">The first group, </w:t>
      </w:r>
      <w:r w:rsidRPr="003466C6">
        <w:rPr>
          <w:rFonts w:ascii="Times New Roman" w:hAnsi="Times New Roman" w:cs="Times New Roman"/>
          <w:bCs/>
          <w:i/>
          <w:sz w:val="24"/>
          <w:szCs w:val="24"/>
        </w:rPr>
        <w:t>Genre</w:t>
      </w:r>
      <w:r>
        <w:rPr>
          <w:rFonts w:ascii="Times New Roman" w:hAnsi="Times New Roman" w:cs="Times New Roman"/>
          <w:bCs/>
          <w:sz w:val="24"/>
          <w:szCs w:val="24"/>
        </w:rPr>
        <w:t xml:space="preserve">, includes the books that are categorized </w:t>
      </w:r>
      <w:r w:rsidR="008815C0">
        <w:rPr>
          <w:rFonts w:ascii="Times New Roman" w:hAnsi="Times New Roman" w:cs="Times New Roman"/>
          <w:bCs/>
          <w:sz w:val="24"/>
          <w:szCs w:val="24"/>
        </w:rPr>
        <w:t xml:space="preserve">primarily </w:t>
      </w:r>
      <w:r>
        <w:rPr>
          <w:rFonts w:ascii="Times New Roman" w:hAnsi="Times New Roman" w:cs="Times New Roman"/>
          <w:bCs/>
          <w:sz w:val="24"/>
          <w:szCs w:val="24"/>
        </w:rPr>
        <w:t xml:space="preserve">by </w:t>
      </w:r>
      <w:r w:rsidR="008815C0">
        <w:rPr>
          <w:rFonts w:ascii="Times New Roman" w:hAnsi="Times New Roman" w:cs="Times New Roman"/>
          <w:bCs/>
          <w:sz w:val="24"/>
          <w:szCs w:val="24"/>
        </w:rPr>
        <w:t xml:space="preserve">their type or genre rather than by their subject.  This group includes encyclopedias, indexes, almanacs, bibliographies, and other similar materials.  </w:t>
      </w:r>
    </w:p>
    <w:p w:rsidR="00996BCA" w:rsidRDefault="00996BCA" w:rsidP="005F2127">
      <w:pPr>
        <w:rPr>
          <w:rFonts w:ascii="Times New Roman" w:hAnsi="Times New Roman" w:cs="Times New Roman"/>
          <w:bCs/>
          <w:sz w:val="24"/>
          <w:szCs w:val="24"/>
        </w:rPr>
      </w:pPr>
    </w:p>
    <w:p w:rsidR="005F2127" w:rsidRDefault="00996BCA" w:rsidP="005F2127">
      <w:pPr>
        <w:rPr>
          <w:rFonts w:ascii="Times New Roman" w:hAnsi="Times New Roman" w:cs="Times New Roman"/>
          <w:bCs/>
          <w:sz w:val="24"/>
          <w:szCs w:val="24"/>
        </w:rPr>
      </w:pPr>
      <w:r>
        <w:rPr>
          <w:rFonts w:ascii="Times New Roman" w:hAnsi="Times New Roman" w:cs="Times New Roman"/>
          <w:bCs/>
          <w:sz w:val="24"/>
          <w:szCs w:val="24"/>
        </w:rPr>
        <w:t xml:space="preserve">The detailed analysis </w:t>
      </w:r>
      <w:r w:rsidR="0062359A">
        <w:rPr>
          <w:rFonts w:ascii="Times New Roman" w:hAnsi="Times New Roman" w:cs="Times New Roman"/>
          <w:bCs/>
          <w:sz w:val="24"/>
          <w:szCs w:val="24"/>
        </w:rPr>
        <w:t>of individual</w:t>
      </w:r>
      <w:r>
        <w:rPr>
          <w:rFonts w:ascii="Times New Roman" w:hAnsi="Times New Roman" w:cs="Times New Roman"/>
          <w:bCs/>
          <w:sz w:val="24"/>
          <w:szCs w:val="24"/>
        </w:rPr>
        <w:t xml:space="preserve"> subject areas</w:t>
      </w:r>
      <w:r w:rsidR="008815C0">
        <w:rPr>
          <w:rFonts w:ascii="Times New Roman" w:hAnsi="Times New Roman" w:cs="Times New Roman"/>
          <w:bCs/>
          <w:sz w:val="24"/>
          <w:szCs w:val="24"/>
        </w:rPr>
        <w:t xml:space="preserve"> are shown </w:t>
      </w:r>
      <w:r>
        <w:rPr>
          <w:rFonts w:ascii="Times New Roman" w:hAnsi="Times New Roman" w:cs="Times New Roman"/>
          <w:bCs/>
          <w:sz w:val="24"/>
          <w:szCs w:val="24"/>
        </w:rPr>
        <w:t>within the nine board subject areas</w:t>
      </w:r>
      <w:r w:rsidR="008815C0">
        <w:rPr>
          <w:rFonts w:ascii="Times New Roman" w:hAnsi="Times New Roman" w:cs="Times New Roman"/>
          <w:bCs/>
          <w:sz w:val="24"/>
          <w:szCs w:val="24"/>
        </w:rPr>
        <w:t xml:space="preserve"> roughly the order of their corresponding Library of Congress Classification Number.  </w:t>
      </w:r>
      <w:r>
        <w:rPr>
          <w:rFonts w:ascii="Times New Roman" w:hAnsi="Times New Roman" w:cs="Times New Roman"/>
          <w:bCs/>
          <w:sz w:val="24"/>
          <w:szCs w:val="24"/>
        </w:rPr>
        <w:t xml:space="preserve">Within each </w:t>
      </w:r>
      <w:r w:rsidR="005F2127">
        <w:rPr>
          <w:rFonts w:ascii="Times New Roman" w:hAnsi="Times New Roman" w:cs="Times New Roman"/>
          <w:bCs/>
          <w:sz w:val="24"/>
          <w:szCs w:val="24"/>
        </w:rPr>
        <w:t xml:space="preserve">subject </w:t>
      </w:r>
      <w:r>
        <w:rPr>
          <w:rFonts w:ascii="Times New Roman" w:hAnsi="Times New Roman" w:cs="Times New Roman"/>
          <w:bCs/>
          <w:sz w:val="24"/>
          <w:szCs w:val="24"/>
        </w:rPr>
        <w:t>area</w:t>
      </w:r>
      <w:r w:rsidR="005F2127">
        <w:rPr>
          <w:rFonts w:ascii="Times New Roman" w:hAnsi="Times New Roman" w:cs="Times New Roman"/>
          <w:bCs/>
          <w:sz w:val="24"/>
          <w:szCs w:val="24"/>
        </w:rPr>
        <w:t xml:space="preserve">, </w:t>
      </w:r>
      <w:r>
        <w:rPr>
          <w:rFonts w:ascii="Times New Roman" w:hAnsi="Times New Roman" w:cs="Times New Roman"/>
          <w:bCs/>
          <w:sz w:val="24"/>
          <w:szCs w:val="24"/>
        </w:rPr>
        <w:t xml:space="preserve">the default order of </w:t>
      </w:r>
      <w:r w:rsidR="005F2127">
        <w:rPr>
          <w:rFonts w:ascii="Times New Roman" w:hAnsi="Times New Roman" w:cs="Times New Roman"/>
          <w:bCs/>
          <w:sz w:val="24"/>
          <w:szCs w:val="24"/>
        </w:rPr>
        <w:t xml:space="preserve">the university or college campuses </w:t>
      </w:r>
      <w:r>
        <w:rPr>
          <w:rFonts w:ascii="Times New Roman" w:hAnsi="Times New Roman" w:cs="Times New Roman"/>
          <w:bCs/>
          <w:sz w:val="24"/>
          <w:szCs w:val="24"/>
        </w:rPr>
        <w:t xml:space="preserve">is </w:t>
      </w:r>
      <w:r w:rsidR="005F2127">
        <w:rPr>
          <w:rFonts w:ascii="Times New Roman" w:hAnsi="Times New Roman" w:cs="Times New Roman"/>
          <w:bCs/>
          <w:sz w:val="24"/>
          <w:szCs w:val="24"/>
        </w:rPr>
        <w:t>in decreasing order of their comprehensiveness (see definition below).</w:t>
      </w:r>
      <w:r>
        <w:rPr>
          <w:rFonts w:ascii="Times New Roman" w:hAnsi="Times New Roman" w:cs="Times New Roman"/>
          <w:bCs/>
          <w:sz w:val="24"/>
          <w:szCs w:val="24"/>
        </w:rPr>
        <w:t xml:space="preserve">  However, the default order can be changed by sorting the entries.  </w:t>
      </w:r>
      <w:r w:rsidR="009A1370">
        <w:rPr>
          <w:rFonts w:ascii="Times New Roman" w:hAnsi="Times New Roman" w:cs="Times New Roman"/>
          <w:bCs/>
          <w:sz w:val="24"/>
          <w:szCs w:val="24"/>
        </w:rPr>
        <w:t>T</w:t>
      </w:r>
      <w:r>
        <w:rPr>
          <w:rFonts w:ascii="Times New Roman" w:hAnsi="Times New Roman" w:cs="Times New Roman"/>
          <w:bCs/>
          <w:sz w:val="24"/>
          <w:szCs w:val="24"/>
        </w:rPr>
        <w:t>he</w:t>
      </w:r>
      <w:r w:rsidR="009A1370">
        <w:rPr>
          <w:rFonts w:ascii="Times New Roman" w:hAnsi="Times New Roman" w:cs="Times New Roman"/>
          <w:bCs/>
          <w:sz w:val="24"/>
          <w:szCs w:val="24"/>
        </w:rPr>
        <w:t xml:space="preserve"> sort window for default order (Comprehensiveness) would be: </w:t>
      </w:r>
    </w:p>
    <w:p w:rsidR="00996BCA" w:rsidRDefault="00996BCA" w:rsidP="005F2127">
      <w:pPr>
        <w:rPr>
          <w:rFonts w:ascii="Times New Roman" w:hAnsi="Times New Roman" w:cs="Times New Roman"/>
          <w:bCs/>
          <w:sz w:val="24"/>
          <w:szCs w:val="24"/>
        </w:rPr>
      </w:pPr>
    </w:p>
    <w:p w:rsidR="00996BCA" w:rsidRDefault="00996BCA" w:rsidP="005F2127">
      <w:pPr>
        <w:rPr>
          <w:rFonts w:ascii="Times New Roman" w:hAnsi="Times New Roman" w:cs="Times New Roman"/>
          <w:bCs/>
          <w:sz w:val="24"/>
          <w:szCs w:val="24"/>
        </w:rPr>
      </w:pPr>
    </w:p>
    <w:p w:rsidR="00996BCA" w:rsidRPr="00E97CB9" w:rsidRDefault="00996BCA" w:rsidP="005F2127">
      <w:pPr>
        <w:rPr>
          <w:rFonts w:ascii="Times New Roman" w:hAnsi="Times New Roman" w:cs="Times New Roman"/>
          <w:bCs/>
          <w:sz w:val="24"/>
          <w:szCs w:val="24"/>
        </w:rPr>
      </w:pPr>
      <w:r>
        <w:rPr>
          <w:rFonts w:ascii="Times New Roman" w:hAnsi="Times New Roman" w:cs="Times New Roman"/>
          <w:bCs/>
          <w:noProof/>
          <w:sz w:val="24"/>
          <w:szCs w:val="24"/>
        </w:rPr>
        <w:drawing>
          <wp:inline distT="0" distB="0" distL="0" distR="0">
            <wp:extent cx="5934075" cy="2724150"/>
            <wp:effectExtent l="19050" t="0" r="9525" b="0"/>
            <wp:docPr id="1" name="Picture 1" descr="C:\Documents and Settings\Ed\My Documents\My Pictures\MP Navigator EX\2010_07_16\Untitled-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Ed\My Documents\My Pictures\MP Navigator EX\2010_07_16\Untitled-1.jpg"/>
                    <pic:cNvPicPr>
                      <a:picLocks noChangeAspect="1" noChangeArrowheads="1"/>
                    </pic:cNvPicPr>
                  </pic:nvPicPr>
                  <pic:blipFill>
                    <a:blip r:embed="rId8" cstate="print"/>
                    <a:srcRect/>
                    <a:stretch>
                      <a:fillRect/>
                    </a:stretch>
                  </pic:blipFill>
                  <pic:spPr bwMode="auto">
                    <a:xfrm>
                      <a:off x="0" y="0"/>
                      <a:ext cx="5934075" cy="2724150"/>
                    </a:xfrm>
                    <a:prstGeom prst="rect">
                      <a:avLst/>
                    </a:prstGeom>
                    <a:noFill/>
                    <a:ln w="9525">
                      <a:noFill/>
                      <a:miter lim="800000"/>
                      <a:headEnd/>
                      <a:tailEnd/>
                    </a:ln>
                  </pic:spPr>
                </pic:pic>
              </a:graphicData>
            </a:graphic>
          </wp:inline>
        </w:drawing>
      </w:r>
    </w:p>
    <w:p w:rsidR="009A1370" w:rsidRDefault="009A1370" w:rsidP="003466C6">
      <w:pPr>
        <w:rPr>
          <w:rFonts w:ascii="Times New Roman" w:hAnsi="Times New Roman" w:cs="Times New Roman"/>
          <w:bCs/>
          <w:sz w:val="24"/>
          <w:szCs w:val="24"/>
        </w:rPr>
      </w:pPr>
    </w:p>
    <w:p w:rsidR="008815C0" w:rsidRDefault="009A1370" w:rsidP="003466C6">
      <w:pPr>
        <w:rPr>
          <w:rFonts w:ascii="Times New Roman" w:hAnsi="Times New Roman" w:cs="Times New Roman"/>
          <w:bCs/>
          <w:sz w:val="24"/>
          <w:szCs w:val="24"/>
        </w:rPr>
      </w:pPr>
      <w:r>
        <w:rPr>
          <w:rFonts w:ascii="Times New Roman" w:hAnsi="Times New Roman" w:cs="Times New Roman"/>
          <w:bCs/>
          <w:sz w:val="24"/>
          <w:szCs w:val="24"/>
        </w:rPr>
        <w:t>To retain the order of the subjects, the first three levels should not be changed.  For example, to order the table alphabetically by institution name, the forth level (Comprehensiveness) would be replaced by “Institution”.</w:t>
      </w:r>
    </w:p>
    <w:p w:rsidR="009A1370" w:rsidRPr="003466C6" w:rsidRDefault="009A1370" w:rsidP="003466C6">
      <w:pPr>
        <w:rPr>
          <w:rFonts w:ascii="Times New Roman" w:hAnsi="Times New Roman" w:cs="Times New Roman"/>
          <w:bCs/>
          <w:sz w:val="24"/>
          <w:szCs w:val="24"/>
        </w:rPr>
      </w:pPr>
    </w:p>
    <w:p w:rsidR="003466C6" w:rsidRPr="003466C6" w:rsidRDefault="005F2127" w:rsidP="003466C6">
      <w:pPr>
        <w:rPr>
          <w:rFonts w:ascii="Times New Roman" w:hAnsi="Times New Roman" w:cs="Times New Roman"/>
          <w:bCs/>
          <w:sz w:val="24"/>
          <w:szCs w:val="24"/>
        </w:rPr>
      </w:pPr>
      <w:r>
        <w:rPr>
          <w:rFonts w:ascii="Times New Roman" w:hAnsi="Times New Roman" w:cs="Times New Roman"/>
          <w:bCs/>
          <w:sz w:val="24"/>
          <w:szCs w:val="24"/>
        </w:rPr>
        <w:t>The metrics used in the analysis are:</w:t>
      </w:r>
    </w:p>
    <w:p w:rsidR="004C1B00" w:rsidRPr="00E97CB9" w:rsidRDefault="004C1B00" w:rsidP="00F85134">
      <w:pPr>
        <w:rPr>
          <w:rFonts w:ascii="Times New Roman" w:hAnsi="Times New Roman" w:cs="Times New Roman"/>
          <w:b/>
          <w:bCs/>
          <w:sz w:val="24"/>
          <w:szCs w:val="24"/>
        </w:rPr>
      </w:pPr>
    </w:p>
    <w:p w:rsidR="004C1B00" w:rsidRPr="00E97CB9" w:rsidRDefault="004C1B00" w:rsidP="00F85134">
      <w:pPr>
        <w:rPr>
          <w:rFonts w:ascii="Times New Roman" w:hAnsi="Times New Roman" w:cs="Times New Roman"/>
          <w:bCs/>
          <w:sz w:val="24"/>
          <w:szCs w:val="24"/>
        </w:rPr>
      </w:pPr>
      <w:r w:rsidRPr="00E97CB9">
        <w:rPr>
          <w:rFonts w:ascii="Times New Roman" w:hAnsi="Times New Roman" w:cs="Times New Roman"/>
          <w:b/>
          <w:bCs/>
          <w:sz w:val="24"/>
          <w:szCs w:val="24"/>
        </w:rPr>
        <w:t xml:space="preserve">Number of Works:  </w:t>
      </w:r>
      <w:r w:rsidRPr="00E97CB9">
        <w:rPr>
          <w:rFonts w:ascii="Times New Roman" w:hAnsi="Times New Roman" w:cs="Times New Roman"/>
          <w:bCs/>
          <w:sz w:val="24"/>
          <w:szCs w:val="24"/>
        </w:rPr>
        <w:t>The number of distinct works in the collection.</w:t>
      </w:r>
      <w:r w:rsidRPr="00E97CB9">
        <w:rPr>
          <w:rFonts w:ascii="Times New Roman" w:hAnsi="Times New Roman" w:cs="Times New Roman"/>
          <w:b/>
          <w:bCs/>
          <w:sz w:val="24"/>
          <w:szCs w:val="24"/>
        </w:rPr>
        <w:t xml:space="preserve">  </w:t>
      </w:r>
      <w:r w:rsidRPr="00E97CB9">
        <w:rPr>
          <w:rFonts w:ascii="Times New Roman" w:hAnsi="Times New Roman" w:cs="Times New Roman"/>
          <w:bCs/>
          <w:sz w:val="24"/>
          <w:szCs w:val="24"/>
        </w:rPr>
        <w:t>The works were identified using the OCLC work-set algorithm</w:t>
      </w:r>
      <w:r w:rsidRPr="00E97CB9">
        <w:rPr>
          <w:rStyle w:val="EndnoteReference"/>
          <w:rFonts w:ascii="Times New Roman" w:hAnsi="Times New Roman" w:cs="Times New Roman"/>
          <w:bCs/>
          <w:sz w:val="24"/>
          <w:szCs w:val="24"/>
        </w:rPr>
        <w:endnoteReference w:id="1"/>
      </w:r>
      <w:r w:rsidRPr="00E97CB9">
        <w:rPr>
          <w:rFonts w:ascii="Times New Roman" w:hAnsi="Times New Roman" w:cs="Times New Roman"/>
          <w:bCs/>
          <w:sz w:val="24"/>
          <w:szCs w:val="24"/>
        </w:rPr>
        <w:t xml:space="preserve"> and based on the FRBR definition of works</w:t>
      </w:r>
      <w:r w:rsidRPr="00E97CB9">
        <w:rPr>
          <w:rStyle w:val="EndnoteReference"/>
          <w:rFonts w:ascii="Times New Roman" w:hAnsi="Times New Roman" w:cs="Times New Roman"/>
          <w:bCs/>
          <w:sz w:val="24"/>
          <w:szCs w:val="24"/>
        </w:rPr>
        <w:endnoteReference w:id="2"/>
      </w:r>
      <w:r w:rsidRPr="00E97CB9">
        <w:rPr>
          <w:rFonts w:ascii="Times New Roman" w:hAnsi="Times New Roman" w:cs="Times New Roman"/>
          <w:bCs/>
          <w:sz w:val="24"/>
          <w:szCs w:val="24"/>
        </w:rPr>
        <w:t>.</w:t>
      </w:r>
    </w:p>
    <w:p w:rsidR="004C1B00" w:rsidRPr="00E97CB9" w:rsidRDefault="004C1B00" w:rsidP="00F85134">
      <w:pPr>
        <w:rPr>
          <w:rFonts w:ascii="Times New Roman" w:hAnsi="Times New Roman" w:cs="Times New Roman"/>
          <w:bCs/>
          <w:sz w:val="24"/>
          <w:szCs w:val="24"/>
        </w:rPr>
      </w:pPr>
    </w:p>
    <w:p w:rsidR="004C1B00" w:rsidRPr="00E97CB9" w:rsidRDefault="004C1B00" w:rsidP="00F85134">
      <w:pPr>
        <w:rPr>
          <w:rFonts w:ascii="Times New Roman" w:hAnsi="Times New Roman" w:cs="Times New Roman"/>
          <w:bCs/>
          <w:sz w:val="24"/>
          <w:szCs w:val="24"/>
        </w:rPr>
      </w:pPr>
      <w:r w:rsidRPr="00E97CB9">
        <w:rPr>
          <w:rFonts w:ascii="Times New Roman" w:hAnsi="Times New Roman" w:cs="Times New Roman"/>
          <w:b/>
          <w:bCs/>
          <w:sz w:val="24"/>
          <w:szCs w:val="24"/>
        </w:rPr>
        <w:t>No. of Manifestations:</w:t>
      </w:r>
      <w:r w:rsidRPr="00E97CB9">
        <w:rPr>
          <w:rFonts w:ascii="Times New Roman" w:hAnsi="Times New Roman" w:cs="Times New Roman"/>
          <w:bCs/>
          <w:sz w:val="24"/>
          <w:szCs w:val="24"/>
        </w:rPr>
        <w:t xml:space="preserve">  The number of manifestations </w:t>
      </w:r>
      <w:r w:rsidR="008D5BDF" w:rsidRPr="00E97CB9">
        <w:rPr>
          <w:rFonts w:ascii="Times New Roman" w:hAnsi="Times New Roman" w:cs="Times New Roman"/>
          <w:bCs/>
          <w:sz w:val="24"/>
          <w:szCs w:val="24"/>
        </w:rPr>
        <w:t xml:space="preserve">is determined by counting the number of unique OCLC numbers for the bibliographic records for the collection. Each OCLC number is assumed to represent a distinct manifestation.   The difference between the number of works and the number of manifestations generally results from acquiring different editions of the same title. </w:t>
      </w:r>
    </w:p>
    <w:p w:rsidR="008D5BDF" w:rsidRPr="00E97CB9" w:rsidRDefault="008D5BDF" w:rsidP="00F85134">
      <w:pPr>
        <w:rPr>
          <w:rFonts w:ascii="Times New Roman" w:hAnsi="Times New Roman" w:cs="Times New Roman"/>
          <w:bCs/>
          <w:sz w:val="24"/>
          <w:szCs w:val="24"/>
        </w:rPr>
      </w:pPr>
    </w:p>
    <w:p w:rsidR="008D5BDF" w:rsidRDefault="008D5BDF" w:rsidP="008D5BDF">
      <w:pPr>
        <w:rPr>
          <w:rFonts w:ascii="Times New Roman" w:hAnsi="Times New Roman" w:cs="Times New Roman"/>
          <w:bCs/>
          <w:sz w:val="24"/>
          <w:szCs w:val="24"/>
        </w:rPr>
      </w:pPr>
      <w:r w:rsidRPr="00E97CB9">
        <w:rPr>
          <w:rFonts w:ascii="Times New Roman" w:hAnsi="Times New Roman" w:cs="Times New Roman"/>
          <w:b/>
          <w:sz w:val="24"/>
          <w:szCs w:val="24"/>
        </w:rPr>
        <w:t>Number of Items:</w:t>
      </w:r>
      <w:r w:rsidRPr="00E97CB9">
        <w:rPr>
          <w:rFonts w:ascii="Times New Roman" w:hAnsi="Times New Roman" w:cs="Times New Roman"/>
          <w:sz w:val="24"/>
          <w:szCs w:val="24"/>
        </w:rPr>
        <w:t xml:space="preserve">  The total number of different items or volumes in the collection.  </w:t>
      </w:r>
      <w:r w:rsidRPr="00E97CB9">
        <w:rPr>
          <w:rFonts w:ascii="Times New Roman" w:hAnsi="Times New Roman" w:cs="Times New Roman"/>
          <w:bCs/>
          <w:sz w:val="24"/>
          <w:szCs w:val="24"/>
        </w:rPr>
        <w:t xml:space="preserve">The difference between the number of </w:t>
      </w:r>
      <w:r w:rsidR="00FC679D" w:rsidRPr="00E97CB9">
        <w:rPr>
          <w:rFonts w:ascii="Times New Roman" w:hAnsi="Times New Roman" w:cs="Times New Roman"/>
          <w:bCs/>
          <w:sz w:val="24"/>
          <w:szCs w:val="24"/>
        </w:rPr>
        <w:t>manifestations and</w:t>
      </w:r>
      <w:r w:rsidRPr="00E97CB9">
        <w:rPr>
          <w:rFonts w:ascii="Times New Roman" w:hAnsi="Times New Roman" w:cs="Times New Roman"/>
          <w:bCs/>
          <w:sz w:val="24"/>
          <w:szCs w:val="24"/>
        </w:rPr>
        <w:t xml:space="preserve"> the number of items generally results from acquiring </w:t>
      </w:r>
      <w:r w:rsidR="00FC679D" w:rsidRPr="00E97CB9">
        <w:rPr>
          <w:rFonts w:ascii="Times New Roman" w:hAnsi="Times New Roman" w:cs="Times New Roman"/>
          <w:bCs/>
          <w:sz w:val="24"/>
          <w:szCs w:val="24"/>
        </w:rPr>
        <w:t>multiple copies of</w:t>
      </w:r>
      <w:r w:rsidRPr="00E97CB9">
        <w:rPr>
          <w:rFonts w:ascii="Times New Roman" w:hAnsi="Times New Roman" w:cs="Times New Roman"/>
          <w:bCs/>
          <w:sz w:val="24"/>
          <w:szCs w:val="24"/>
        </w:rPr>
        <w:t xml:space="preserve"> editions.</w:t>
      </w:r>
    </w:p>
    <w:p w:rsidR="009A1370" w:rsidRDefault="009A1370" w:rsidP="008D5BDF">
      <w:pPr>
        <w:rPr>
          <w:rFonts w:ascii="Times New Roman" w:hAnsi="Times New Roman" w:cs="Times New Roman"/>
          <w:bCs/>
          <w:sz w:val="24"/>
          <w:szCs w:val="24"/>
        </w:rPr>
      </w:pPr>
    </w:p>
    <w:p w:rsidR="009A1370" w:rsidRPr="00582BCD" w:rsidRDefault="009A1370" w:rsidP="008D5BDF">
      <w:pPr>
        <w:rPr>
          <w:rFonts w:ascii="Times New Roman" w:hAnsi="Times New Roman" w:cs="Times New Roman"/>
          <w:bCs/>
          <w:sz w:val="24"/>
          <w:szCs w:val="24"/>
        </w:rPr>
      </w:pPr>
      <w:r w:rsidRPr="00582BCD">
        <w:rPr>
          <w:rFonts w:ascii="Times New Roman" w:hAnsi="Times New Roman" w:cs="Times New Roman"/>
          <w:b/>
          <w:bCs/>
          <w:sz w:val="24"/>
          <w:szCs w:val="24"/>
        </w:rPr>
        <w:t>Percent Non-circulating</w:t>
      </w:r>
      <w:r w:rsidRPr="00582BCD">
        <w:rPr>
          <w:rFonts w:ascii="Times New Roman" w:hAnsi="Times New Roman" w:cs="Times New Roman"/>
          <w:bCs/>
          <w:sz w:val="24"/>
          <w:szCs w:val="24"/>
        </w:rPr>
        <w:t>: The percent of the collection that does not circulated.</w:t>
      </w:r>
    </w:p>
    <w:p w:rsidR="00FC679D" w:rsidRPr="00582BCD" w:rsidRDefault="00FC679D" w:rsidP="008D5BDF">
      <w:pPr>
        <w:rPr>
          <w:rFonts w:ascii="Times New Roman" w:hAnsi="Times New Roman" w:cs="Times New Roman"/>
          <w:bCs/>
          <w:sz w:val="24"/>
          <w:szCs w:val="24"/>
        </w:rPr>
      </w:pPr>
    </w:p>
    <w:p w:rsidR="00FC679D" w:rsidRPr="00582BCD" w:rsidRDefault="00FC679D" w:rsidP="008D5BDF">
      <w:pPr>
        <w:rPr>
          <w:rFonts w:ascii="Times New Roman" w:hAnsi="Times New Roman" w:cs="Times New Roman"/>
          <w:bCs/>
          <w:sz w:val="24"/>
          <w:szCs w:val="24"/>
        </w:rPr>
      </w:pPr>
      <w:r w:rsidRPr="00582BCD">
        <w:rPr>
          <w:rFonts w:ascii="Times New Roman" w:hAnsi="Times New Roman" w:cs="Times New Roman"/>
          <w:b/>
          <w:bCs/>
          <w:sz w:val="24"/>
          <w:szCs w:val="24"/>
        </w:rPr>
        <w:t xml:space="preserve">Annual Circulation:  </w:t>
      </w:r>
      <w:r w:rsidRPr="00582BCD">
        <w:rPr>
          <w:rFonts w:ascii="Times New Roman" w:hAnsi="Times New Roman" w:cs="Times New Roman"/>
          <w:bCs/>
          <w:sz w:val="24"/>
          <w:szCs w:val="24"/>
        </w:rPr>
        <w:t>The total circulation generated by the collection for the year observed.</w:t>
      </w:r>
    </w:p>
    <w:p w:rsidR="009A1370" w:rsidRPr="00582BCD" w:rsidRDefault="009A1370" w:rsidP="008D5BDF">
      <w:pPr>
        <w:rPr>
          <w:rFonts w:ascii="Times New Roman" w:hAnsi="Times New Roman" w:cs="Times New Roman"/>
          <w:bCs/>
          <w:sz w:val="24"/>
          <w:szCs w:val="24"/>
        </w:rPr>
      </w:pPr>
    </w:p>
    <w:p w:rsidR="009A1370" w:rsidRPr="00582BCD" w:rsidRDefault="009A1370" w:rsidP="008D5BDF">
      <w:pPr>
        <w:rPr>
          <w:rFonts w:ascii="Times New Roman" w:hAnsi="Times New Roman" w:cs="Times New Roman"/>
          <w:sz w:val="24"/>
          <w:szCs w:val="24"/>
        </w:rPr>
      </w:pPr>
      <w:r w:rsidRPr="00582BCD">
        <w:rPr>
          <w:rFonts w:ascii="Times New Roman" w:hAnsi="Times New Roman" w:cs="Times New Roman"/>
          <w:b/>
          <w:bCs/>
          <w:sz w:val="24"/>
          <w:szCs w:val="24"/>
        </w:rPr>
        <w:t>Circulation Rate:</w:t>
      </w:r>
      <w:r w:rsidRPr="00582BCD">
        <w:rPr>
          <w:rFonts w:ascii="Times New Roman" w:hAnsi="Times New Roman" w:cs="Times New Roman"/>
          <w:bCs/>
          <w:sz w:val="24"/>
          <w:szCs w:val="24"/>
        </w:rPr>
        <w:t xml:space="preserve">  The average annual circulation for the circulating items in the subject collection.</w:t>
      </w:r>
    </w:p>
    <w:p w:rsidR="00F85134" w:rsidRPr="00E97CB9" w:rsidRDefault="00F85134" w:rsidP="00F85134">
      <w:pPr>
        <w:rPr>
          <w:rFonts w:ascii="Times New Roman" w:hAnsi="Times New Roman" w:cs="Times New Roman"/>
          <w:b/>
          <w:bCs/>
          <w:sz w:val="24"/>
          <w:szCs w:val="24"/>
        </w:rPr>
      </w:pPr>
    </w:p>
    <w:p w:rsidR="00F85134" w:rsidRPr="00E97CB9" w:rsidRDefault="00F85134" w:rsidP="00F85134">
      <w:pPr>
        <w:rPr>
          <w:rFonts w:ascii="Times New Roman" w:hAnsi="Times New Roman" w:cs="Times New Roman"/>
          <w:sz w:val="24"/>
          <w:szCs w:val="24"/>
        </w:rPr>
      </w:pPr>
      <w:r w:rsidRPr="00E97CB9">
        <w:rPr>
          <w:rFonts w:ascii="Times New Roman" w:hAnsi="Times New Roman" w:cs="Times New Roman"/>
          <w:b/>
          <w:bCs/>
          <w:sz w:val="24"/>
          <w:szCs w:val="24"/>
        </w:rPr>
        <w:t xml:space="preserve">Coverage:  </w:t>
      </w:r>
      <w:r w:rsidRPr="00E97CB9">
        <w:rPr>
          <w:rFonts w:ascii="Times New Roman" w:hAnsi="Times New Roman" w:cs="Times New Roman"/>
          <w:bCs/>
          <w:sz w:val="24"/>
          <w:szCs w:val="24"/>
        </w:rPr>
        <w:t xml:space="preserve">The percent of all </w:t>
      </w:r>
      <w:proofErr w:type="spellStart"/>
      <w:r w:rsidRPr="00E97CB9">
        <w:rPr>
          <w:rFonts w:ascii="Times New Roman" w:hAnsi="Times New Roman" w:cs="Times New Roman"/>
          <w:bCs/>
          <w:sz w:val="24"/>
          <w:szCs w:val="24"/>
        </w:rPr>
        <w:t>OhioLINK</w:t>
      </w:r>
      <w:proofErr w:type="spellEnd"/>
      <w:r w:rsidRPr="00E97CB9">
        <w:rPr>
          <w:rFonts w:ascii="Times New Roman" w:hAnsi="Times New Roman" w:cs="Times New Roman"/>
          <w:bCs/>
          <w:sz w:val="24"/>
          <w:szCs w:val="24"/>
        </w:rPr>
        <w:t xml:space="preserve"> manifestations held in </w:t>
      </w:r>
      <w:r w:rsidR="00FC679D" w:rsidRPr="00E97CB9">
        <w:rPr>
          <w:rFonts w:ascii="Times New Roman" w:hAnsi="Times New Roman" w:cs="Times New Roman"/>
          <w:bCs/>
          <w:sz w:val="24"/>
          <w:szCs w:val="24"/>
        </w:rPr>
        <w:t>specified</w:t>
      </w:r>
      <w:r w:rsidRPr="00E97CB9">
        <w:rPr>
          <w:rFonts w:ascii="Times New Roman" w:hAnsi="Times New Roman" w:cs="Times New Roman"/>
          <w:bCs/>
          <w:sz w:val="24"/>
          <w:szCs w:val="24"/>
        </w:rPr>
        <w:t xml:space="preserve"> collection.</w:t>
      </w:r>
      <w:r w:rsidR="00FC679D" w:rsidRPr="00E97CB9">
        <w:rPr>
          <w:rFonts w:ascii="Times New Roman" w:hAnsi="Times New Roman" w:cs="Times New Roman"/>
          <w:bCs/>
          <w:sz w:val="24"/>
          <w:szCs w:val="24"/>
        </w:rPr>
        <w:t xml:space="preserve">  </w:t>
      </w:r>
      <w:r w:rsidRPr="00E97CB9">
        <w:rPr>
          <w:rFonts w:ascii="Times New Roman" w:hAnsi="Times New Roman" w:cs="Times New Roman"/>
          <w:bCs/>
          <w:sz w:val="24"/>
          <w:szCs w:val="24"/>
        </w:rPr>
        <w:t>Example:  The University of Akron’s</w:t>
      </w:r>
      <w:r w:rsidRPr="00E97CB9">
        <w:rPr>
          <w:rFonts w:ascii="Times New Roman" w:hAnsi="Times New Roman" w:cs="Times New Roman"/>
          <w:bCs/>
          <w:i/>
          <w:iCs/>
          <w:sz w:val="24"/>
          <w:szCs w:val="24"/>
        </w:rPr>
        <w:t xml:space="preserve"> Ethics</w:t>
      </w:r>
      <w:r w:rsidR="00D7739F" w:rsidRPr="00E97CB9">
        <w:rPr>
          <w:rFonts w:ascii="Times New Roman" w:hAnsi="Times New Roman" w:cs="Times New Roman"/>
          <w:bCs/>
          <w:sz w:val="24"/>
          <w:szCs w:val="24"/>
        </w:rPr>
        <w:t xml:space="preserve"> collection:</w:t>
      </w:r>
    </w:p>
    <w:p w:rsidR="00F85134" w:rsidRPr="00E97CB9" w:rsidRDefault="00F85134" w:rsidP="00D7739F">
      <w:pPr>
        <w:numPr>
          <w:ilvl w:val="0"/>
          <w:numId w:val="4"/>
        </w:numPr>
        <w:rPr>
          <w:rFonts w:ascii="Times New Roman" w:hAnsi="Times New Roman" w:cs="Times New Roman"/>
          <w:sz w:val="24"/>
          <w:szCs w:val="24"/>
        </w:rPr>
      </w:pPr>
      <w:r w:rsidRPr="00E97CB9">
        <w:rPr>
          <w:rFonts w:ascii="Times New Roman" w:hAnsi="Times New Roman" w:cs="Times New Roman"/>
          <w:bCs/>
          <w:sz w:val="24"/>
          <w:szCs w:val="24"/>
        </w:rPr>
        <w:t xml:space="preserve">Collectively </w:t>
      </w:r>
      <w:proofErr w:type="spellStart"/>
      <w:r w:rsidRPr="00E97CB9">
        <w:rPr>
          <w:rFonts w:ascii="Times New Roman" w:hAnsi="Times New Roman" w:cs="Times New Roman"/>
          <w:bCs/>
          <w:sz w:val="24"/>
          <w:szCs w:val="24"/>
        </w:rPr>
        <w:t>OhioLINK</w:t>
      </w:r>
      <w:proofErr w:type="spellEnd"/>
      <w:r w:rsidRPr="00E97CB9">
        <w:rPr>
          <w:rFonts w:ascii="Times New Roman" w:hAnsi="Times New Roman" w:cs="Times New Roman"/>
          <w:bCs/>
          <w:sz w:val="24"/>
          <w:szCs w:val="24"/>
        </w:rPr>
        <w:t xml:space="preserve"> libraries hold 13,308 different manifestations classified as </w:t>
      </w:r>
      <w:r w:rsidRPr="00E97CB9">
        <w:rPr>
          <w:rFonts w:ascii="Times New Roman" w:hAnsi="Times New Roman" w:cs="Times New Roman"/>
          <w:bCs/>
          <w:i/>
          <w:iCs/>
          <w:sz w:val="24"/>
          <w:szCs w:val="24"/>
        </w:rPr>
        <w:t>Ethics</w:t>
      </w:r>
      <w:r w:rsidRPr="00E97CB9">
        <w:rPr>
          <w:rFonts w:ascii="Times New Roman" w:hAnsi="Times New Roman" w:cs="Times New Roman"/>
          <w:bCs/>
          <w:sz w:val="24"/>
          <w:szCs w:val="24"/>
        </w:rPr>
        <w:t xml:space="preserve">, </w:t>
      </w:r>
    </w:p>
    <w:p w:rsidR="00F85134" w:rsidRPr="00E97CB9" w:rsidRDefault="00F85134" w:rsidP="00D7739F">
      <w:pPr>
        <w:numPr>
          <w:ilvl w:val="0"/>
          <w:numId w:val="4"/>
        </w:numPr>
        <w:rPr>
          <w:rFonts w:ascii="Times New Roman" w:hAnsi="Times New Roman" w:cs="Times New Roman"/>
          <w:sz w:val="24"/>
          <w:szCs w:val="24"/>
        </w:rPr>
      </w:pPr>
      <w:r w:rsidRPr="00E97CB9">
        <w:rPr>
          <w:rFonts w:ascii="Times New Roman" w:hAnsi="Times New Roman" w:cs="Times New Roman"/>
          <w:bCs/>
          <w:sz w:val="24"/>
          <w:szCs w:val="24"/>
        </w:rPr>
        <w:t xml:space="preserve"> 1,5</w:t>
      </w:r>
      <w:r w:rsidR="00582BCD">
        <w:rPr>
          <w:rFonts w:ascii="Times New Roman" w:hAnsi="Times New Roman" w:cs="Times New Roman"/>
          <w:bCs/>
          <w:sz w:val="24"/>
          <w:szCs w:val="24"/>
        </w:rPr>
        <w:t>6</w:t>
      </w:r>
      <w:r w:rsidR="00FC679D" w:rsidRPr="00E97CB9">
        <w:rPr>
          <w:rFonts w:ascii="Times New Roman" w:hAnsi="Times New Roman" w:cs="Times New Roman"/>
          <w:bCs/>
          <w:sz w:val="24"/>
          <w:szCs w:val="24"/>
        </w:rPr>
        <w:t>3</w:t>
      </w:r>
      <w:r w:rsidRPr="00E97CB9">
        <w:rPr>
          <w:rFonts w:ascii="Times New Roman" w:hAnsi="Times New Roman" w:cs="Times New Roman"/>
          <w:bCs/>
          <w:sz w:val="24"/>
          <w:szCs w:val="24"/>
        </w:rPr>
        <w:t xml:space="preserve"> of these manifestations are held by the University of Akron,</w:t>
      </w:r>
    </w:p>
    <w:p w:rsidR="00F85134" w:rsidRPr="00E97CB9" w:rsidRDefault="00FC679D" w:rsidP="00FC679D">
      <w:pPr>
        <w:rPr>
          <w:rFonts w:ascii="Times New Roman" w:hAnsi="Times New Roman" w:cs="Times New Roman"/>
          <w:sz w:val="24"/>
          <w:szCs w:val="24"/>
        </w:rPr>
      </w:pPr>
      <w:r w:rsidRPr="00E97CB9">
        <w:rPr>
          <w:rFonts w:ascii="Times New Roman" w:hAnsi="Times New Roman" w:cs="Times New Roman"/>
          <w:bCs/>
          <w:sz w:val="24"/>
          <w:szCs w:val="24"/>
        </w:rPr>
        <w:t xml:space="preserve">Therefore Akron’s coverage of </w:t>
      </w:r>
      <w:proofErr w:type="gramStart"/>
      <w:r w:rsidRPr="00E97CB9">
        <w:rPr>
          <w:rFonts w:ascii="Times New Roman" w:hAnsi="Times New Roman" w:cs="Times New Roman"/>
          <w:bCs/>
          <w:sz w:val="24"/>
          <w:szCs w:val="24"/>
        </w:rPr>
        <w:t xml:space="preserve">ethics </w:t>
      </w:r>
      <w:r w:rsidR="00F85134" w:rsidRPr="00E97CB9">
        <w:rPr>
          <w:rFonts w:ascii="Times New Roman" w:hAnsi="Times New Roman" w:cs="Times New Roman"/>
          <w:bCs/>
          <w:sz w:val="24"/>
          <w:szCs w:val="24"/>
        </w:rPr>
        <w:t xml:space="preserve"> =</w:t>
      </w:r>
      <w:proofErr w:type="gramEnd"/>
      <w:r w:rsidR="00F85134" w:rsidRPr="00E97CB9">
        <w:rPr>
          <w:rFonts w:ascii="Times New Roman" w:hAnsi="Times New Roman" w:cs="Times New Roman"/>
          <w:bCs/>
          <w:sz w:val="24"/>
          <w:szCs w:val="24"/>
        </w:rPr>
        <w:t xml:space="preserve"> </w:t>
      </w:r>
      <w:r w:rsidRPr="00E97CB9">
        <w:rPr>
          <w:rFonts w:ascii="Times New Roman" w:hAnsi="Times New Roman" w:cs="Times New Roman"/>
          <w:bCs/>
          <w:sz w:val="24"/>
          <w:szCs w:val="24"/>
        </w:rPr>
        <w:t xml:space="preserve"> </w:t>
      </w:r>
      <w:r w:rsidR="00F85134" w:rsidRPr="00E97CB9">
        <w:rPr>
          <w:rFonts w:ascii="Times New Roman" w:hAnsi="Times New Roman" w:cs="Times New Roman"/>
          <w:bCs/>
          <w:sz w:val="24"/>
          <w:szCs w:val="24"/>
        </w:rPr>
        <w:t>1,5</w:t>
      </w:r>
      <w:r w:rsidR="00582BCD">
        <w:rPr>
          <w:rFonts w:ascii="Times New Roman" w:hAnsi="Times New Roman" w:cs="Times New Roman"/>
          <w:bCs/>
          <w:sz w:val="24"/>
          <w:szCs w:val="24"/>
        </w:rPr>
        <w:t>6</w:t>
      </w:r>
      <w:r w:rsidRPr="00E97CB9">
        <w:rPr>
          <w:rFonts w:ascii="Times New Roman" w:hAnsi="Times New Roman" w:cs="Times New Roman"/>
          <w:bCs/>
          <w:sz w:val="24"/>
          <w:szCs w:val="24"/>
        </w:rPr>
        <w:t>3</w:t>
      </w:r>
      <w:r w:rsidR="00F85134" w:rsidRPr="00E97CB9">
        <w:rPr>
          <w:rFonts w:ascii="Times New Roman" w:hAnsi="Times New Roman" w:cs="Times New Roman"/>
          <w:bCs/>
          <w:sz w:val="24"/>
          <w:szCs w:val="24"/>
        </w:rPr>
        <w:t xml:space="preserve"> / 13,308 = 1</w:t>
      </w:r>
      <w:r w:rsidRPr="00E97CB9">
        <w:rPr>
          <w:rFonts w:ascii="Times New Roman" w:hAnsi="Times New Roman" w:cs="Times New Roman"/>
          <w:bCs/>
          <w:sz w:val="24"/>
          <w:szCs w:val="24"/>
        </w:rPr>
        <w:t>1.7</w:t>
      </w:r>
      <w:r w:rsidR="00F85134" w:rsidRPr="00E97CB9">
        <w:rPr>
          <w:rFonts w:ascii="Times New Roman" w:hAnsi="Times New Roman" w:cs="Times New Roman"/>
          <w:bCs/>
          <w:sz w:val="24"/>
          <w:szCs w:val="24"/>
        </w:rPr>
        <w:t>%</w:t>
      </w:r>
      <w:r w:rsidR="00D7739F" w:rsidRPr="00E97CB9">
        <w:rPr>
          <w:rFonts w:ascii="Times New Roman" w:hAnsi="Times New Roman" w:cs="Times New Roman"/>
          <w:bCs/>
          <w:sz w:val="24"/>
          <w:szCs w:val="24"/>
        </w:rPr>
        <w:t>.</w:t>
      </w:r>
    </w:p>
    <w:p w:rsidR="00C26442" w:rsidRPr="00E97CB9" w:rsidRDefault="00C26442">
      <w:pPr>
        <w:rPr>
          <w:rFonts w:ascii="Times New Roman" w:hAnsi="Times New Roman" w:cs="Times New Roman"/>
          <w:sz w:val="24"/>
          <w:szCs w:val="24"/>
        </w:rPr>
      </w:pPr>
    </w:p>
    <w:p w:rsidR="00F85134" w:rsidRPr="00E97CB9" w:rsidRDefault="00F85134" w:rsidP="00F85134">
      <w:pPr>
        <w:rPr>
          <w:rFonts w:ascii="Times New Roman" w:hAnsi="Times New Roman" w:cs="Times New Roman"/>
          <w:sz w:val="24"/>
          <w:szCs w:val="24"/>
        </w:rPr>
      </w:pPr>
      <w:r w:rsidRPr="00E97CB9">
        <w:rPr>
          <w:rFonts w:ascii="Times New Roman" w:hAnsi="Times New Roman" w:cs="Times New Roman"/>
          <w:b/>
          <w:sz w:val="24"/>
          <w:szCs w:val="24"/>
        </w:rPr>
        <w:t>Comprehensiveness</w:t>
      </w:r>
      <w:r w:rsidRPr="00E97CB9">
        <w:rPr>
          <w:rFonts w:ascii="Times New Roman" w:hAnsi="Times New Roman" w:cs="Times New Roman"/>
          <w:sz w:val="24"/>
          <w:szCs w:val="24"/>
        </w:rPr>
        <w:t xml:space="preserve">: </w:t>
      </w:r>
      <w:r w:rsidRPr="00E97CB9">
        <w:rPr>
          <w:rFonts w:ascii="Times New Roman" w:hAnsi="Times New Roman" w:cs="Times New Roman"/>
          <w:bCs/>
          <w:sz w:val="24"/>
          <w:szCs w:val="24"/>
        </w:rPr>
        <w:t xml:space="preserve">The proportion of all </w:t>
      </w:r>
      <w:proofErr w:type="spellStart"/>
      <w:r w:rsidRPr="00E97CB9">
        <w:rPr>
          <w:rFonts w:ascii="Times New Roman" w:hAnsi="Times New Roman" w:cs="Times New Roman"/>
          <w:bCs/>
          <w:sz w:val="24"/>
          <w:szCs w:val="24"/>
        </w:rPr>
        <w:t>OhioLINK</w:t>
      </w:r>
      <w:proofErr w:type="spellEnd"/>
      <w:r w:rsidRPr="00E97CB9">
        <w:rPr>
          <w:rFonts w:ascii="Times New Roman" w:hAnsi="Times New Roman" w:cs="Times New Roman"/>
          <w:bCs/>
          <w:sz w:val="24"/>
          <w:szCs w:val="24"/>
        </w:rPr>
        <w:t xml:space="preserve"> circulations that could have been met by the manifestations in </w:t>
      </w:r>
      <w:r w:rsidR="00582BCD">
        <w:rPr>
          <w:rFonts w:ascii="Times New Roman" w:hAnsi="Times New Roman" w:cs="Times New Roman"/>
          <w:bCs/>
          <w:sz w:val="24"/>
          <w:szCs w:val="24"/>
        </w:rPr>
        <w:t>the specified</w:t>
      </w:r>
      <w:r w:rsidRPr="00E97CB9">
        <w:rPr>
          <w:rFonts w:ascii="Times New Roman" w:hAnsi="Times New Roman" w:cs="Times New Roman"/>
          <w:bCs/>
          <w:sz w:val="24"/>
          <w:szCs w:val="24"/>
        </w:rPr>
        <w:t xml:space="preserve"> collection.</w:t>
      </w:r>
      <w:r w:rsidR="00FC679D" w:rsidRPr="00E97CB9">
        <w:rPr>
          <w:rFonts w:ascii="Times New Roman" w:hAnsi="Times New Roman" w:cs="Times New Roman"/>
          <w:bCs/>
          <w:sz w:val="24"/>
          <w:szCs w:val="24"/>
        </w:rPr>
        <w:t xml:space="preserve">  For t</w:t>
      </w:r>
      <w:r w:rsidRPr="00E97CB9">
        <w:rPr>
          <w:rFonts w:ascii="Times New Roman" w:hAnsi="Times New Roman" w:cs="Times New Roman"/>
          <w:bCs/>
          <w:sz w:val="24"/>
          <w:szCs w:val="24"/>
        </w:rPr>
        <w:t>he University of Akron’s</w:t>
      </w:r>
      <w:r w:rsidRPr="00E97CB9">
        <w:rPr>
          <w:rFonts w:ascii="Times New Roman" w:hAnsi="Times New Roman" w:cs="Times New Roman"/>
          <w:bCs/>
          <w:i/>
          <w:iCs/>
          <w:sz w:val="24"/>
          <w:szCs w:val="24"/>
        </w:rPr>
        <w:t xml:space="preserve"> Ethics</w:t>
      </w:r>
      <w:r w:rsidRPr="00E97CB9">
        <w:rPr>
          <w:rFonts w:ascii="Times New Roman" w:hAnsi="Times New Roman" w:cs="Times New Roman"/>
          <w:bCs/>
          <w:sz w:val="24"/>
          <w:szCs w:val="24"/>
        </w:rPr>
        <w:t xml:space="preserve"> co</w:t>
      </w:r>
      <w:r w:rsidR="00D7739F" w:rsidRPr="00E97CB9">
        <w:rPr>
          <w:rFonts w:ascii="Times New Roman" w:hAnsi="Times New Roman" w:cs="Times New Roman"/>
          <w:bCs/>
          <w:sz w:val="24"/>
          <w:szCs w:val="24"/>
        </w:rPr>
        <w:t>llection:</w:t>
      </w:r>
    </w:p>
    <w:p w:rsidR="0002672C" w:rsidRPr="00E97CB9" w:rsidRDefault="00E97CB9" w:rsidP="00D7739F">
      <w:pPr>
        <w:numPr>
          <w:ilvl w:val="0"/>
          <w:numId w:val="5"/>
        </w:numPr>
        <w:rPr>
          <w:rFonts w:ascii="Times New Roman" w:hAnsi="Times New Roman" w:cs="Times New Roman"/>
          <w:sz w:val="24"/>
          <w:szCs w:val="24"/>
        </w:rPr>
      </w:pPr>
      <w:r w:rsidRPr="00E97CB9">
        <w:rPr>
          <w:rFonts w:ascii="Times New Roman" w:hAnsi="Times New Roman" w:cs="Times New Roman"/>
          <w:bCs/>
          <w:sz w:val="24"/>
          <w:szCs w:val="24"/>
        </w:rPr>
        <w:t xml:space="preserve"> </w:t>
      </w:r>
      <w:r w:rsidR="00D7739F" w:rsidRPr="00E97CB9">
        <w:rPr>
          <w:rFonts w:ascii="Times New Roman" w:hAnsi="Times New Roman" w:cs="Times New Roman"/>
          <w:bCs/>
          <w:sz w:val="24"/>
          <w:szCs w:val="24"/>
        </w:rPr>
        <w:t>Collectively a</w:t>
      </w:r>
      <w:r w:rsidRPr="00E97CB9">
        <w:rPr>
          <w:rFonts w:ascii="Times New Roman" w:hAnsi="Times New Roman" w:cs="Times New Roman"/>
          <w:bCs/>
          <w:sz w:val="24"/>
          <w:szCs w:val="24"/>
        </w:rPr>
        <w:t xml:space="preserve">ll </w:t>
      </w:r>
      <w:r w:rsidRPr="00E97CB9">
        <w:rPr>
          <w:rFonts w:ascii="Times New Roman" w:hAnsi="Times New Roman" w:cs="Times New Roman"/>
          <w:bCs/>
          <w:i/>
          <w:iCs/>
          <w:sz w:val="24"/>
          <w:szCs w:val="24"/>
        </w:rPr>
        <w:t xml:space="preserve">Ethics </w:t>
      </w:r>
      <w:r w:rsidRPr="00E97CB9">
        <w:rPr>
          <w:rFonts w:ascii="Times New Roman" w:hAnsi="Times New Roman" w:cs="Times New Roman"/>
          <w:bCs/>
          <w:sz w:val="24"/>
          <w:szCs w:val="24"/>
        </w:rPr>
        <w:t xml:space="preserve">manifestations in </w:t>
      </w:r>
      <w:proofErr w:type="spellStart"/>
      <w:r w:rsidRPr="00E97CB9">
        <w:rPr>
          <w:rFonts w:ascii="Times New Roman" w:hAnsi="Times New Roman" w:cs="Times New Roman"/>
          <w:bCs/>
          <w:sz w:val="24"/>
          <w:szCs w:val="24"/>
        </w:rPr>
        <w:t>OhioLINK</w:t>
      </w:r>
      <w:proofErr w:type="spellEnd"/>
      <w:r w:rsidRPr="00E97CB9">
        <w:rPr>
          <w:rFonts w:ascii="Times New Roman" w:hAnsi="Times New Roman" w:cs="Times New Roman"/>
          <w:bCs/>
          <w:sz w:val="24"/>
          <w:szCs w:val="24"/>
        </w:rPr>
        <w:t xml:space="preserve"> l</w:t>
      </w:r>
      <w:r w:rsidR="00D7739F" w:rsidRPr="00E97CB9">
        <w:rPr>
          <w:rFonts w:ascii="Times New Roman" w:hAnsi="Times New Roman" w:cs="Times New Roman"/>
          <w:bCs/>
          <w:sz w:val="24"/>
          <w:szCs w:val="24"/>
        </w:rPr>
        <w:t>ibraries circulated 8,817 times</w:t>
      </w:r>
      <w:r w:rsidRPr="00E97CB9">
        <w:rPr>
          <w:rFonts w:ascii="Times New Roman" w:hAnsi="Times New Roman" w:cs="Times New Roman"/>
          <w:bCs/>
          <w:sz w:val="24"/>
          <w:szCs w:val="24"/>
        </w:rPr>
        <w:t>,</w:t>
      </w:r>
    </w:p>
    <w:p w:rsidR="0002672C" w:rsidRPr="00E97CB9" w:rsidRDefault="00E97CB9" w:rsidP="00D7739F">
      <w:pPr>
        <w:numPr>
          <w:ilvl w:val="0"/>
          <w:numId w:val="5"/>
        </w:numPr>
        <w:rPr>
          <w:rFonts w:ascii="Times New Roman" w:hAnsi="Times New Roman" w:cs="Times New Roman"/>
          <w:sz w:val="24"/>
          <w:szCs w:val="24"/>
        </w:rPr>
      </w:pPr>
      <w:r w:rsidRPr="00E97CB9">
        <w:rPr>
          <w:rFonts w:ascii="Times New Roman" w:hAnsi="Times New Roman" w:cs="Times New Roman"/>
          <w:bCs/>
          <w:sz w:val="24"/>
          <w:szCs w:val="24"/>
        </w:rPr>
        <w:t xml:space="preserve"> Collectively the </w:t>
      </w:r>
      <w:r w:rsidRPr="00E97CB9">
        <w:rPr>
          <w:rFonts w:ascii="Times New Roman" w:hAnsi="Times New Roman" w:cs="Times New Roman"/>
          <w:bCs/>
          <w:i/>
          <w:iCs/>
          <w:sz w:val="24"/>
          <w:szCs w:val="24"/>
        </w:rPr>
        <w:t>Ethics</w:t>
      </w:r>
      <w:r w:rsidRPr="00E97CB9">
        <w:rPr>
          <w:rFonts w:ascii="Times New Roman" w:hAnsi="Times New Roman" w:cs="Times New Roman"/>
          <w:bCs/>
          <w:sz w:val="24"/>
          <w:szCs w:val="24"/>
        </w:rPr>
        <w:t xml:space="preserve"> manifestations held at the University of Akron accounted for 3,060 circulations</w:t>
      </w:r>
      <w:r w:rsidR="00582BCD">
        <w:rPr>
          <w:rStyle w:val="EndnoteReference"/>
          <w:rFonts w:ascii="Times New Roman" w:hAnsi="Times New Roman" w:cs="Times New Roman"/>
          <w:bCs/>
          <w:sz w:val="24"/>
          <w:szCs w:val="24"/>
        </w:rPr>
        <w:endnoteReference w:id="3"/>
      </w:r>
      <w:r w:rsidRPr="00E97CB9">
        <w:rPr>
          <w:rFonts w:ascii="Times New Roman" w:hAnsi="Times New Roman" w:cs="Times New Roman"/>
          <w:bCs/>
          <w:sz w:val="24"/>
          <w:szCs w:val="24"/>
        </w:rPr>
        <w:t>,</w:t>
      </w:r>
    </w:p>
    <w:p w:rsidR="00941277" w:rsidRDefault="00D7739F" w:rsidP="00F85134">
      <w:pPr>
        <w:rPr>
          <w:rFonts w:ascii="Times New Roman" w:hAnsi="Times New Roman" w:cs="Times New Roman"/>
          <w:bCs/>
          <w:sz w:val="24"/>
          <w:szCs w:val="24"/>
        </w:rPr>
      </w:pPr>
      <w:r w:rsidRPr="00E97CB9">
        <w:rPr>
          <w:rFonts w:ascii="Times New Roman" w:hAnsi="Times New Roman" w:cs="Times New Roman"/>
          <w:bCs/>
          <w:sz w:val="24"/>
          <w:szCs w:val="24"/>
        </w:rPr>
        <w:t>Therefore the c</w:t>
      </w:r>
      <w:r w:rsidR="00F85134" w:rsidRPr="00E97CB9">
        <w:rPr>
          <w:rFonts w:ascii="Times New Roman" w:hAnsi="Times New Roman" w:cs="Times New Roman"/>
          <w:bCs/>
          <w:sz w:val="24"/>
          <w:szCs w:val="24"/>
        </w:rPr>
        <w:t xml:space="preserve">omprehensiveness </w:t>
      </w:r>
      <w:r w:rsidRPr="00E97CB9">
        <w:rPr>
          <w:rFonts w:ascii="Times New Roman" w:hAnsi="Times New Roman" w:cs="Times New Roman"/>
          <w:bCs/>
          <w:sz w:val="24"/>
          <w:szCs w:val="24"/>
        </w:rPr>
        <w:t xml:space="preserve">of </w:t>
      </w:r>
      <w:proofErr w:type="spellStart"/>
      <w:r w:rsidRPr="00E97CB9">
        <w:rPr>
          <w:rFonts w:ascii="Times New Roman" w:hAnsi="Times New Roman" w:cs="Times New Roman"/>
          <w:bCs/>
          <w:sz w:val="24"/>
          <w:szCs w:val="24"/>
        </w:rPr>
        <w:t>Arkon’s</w:t>
      </w:r>
      <w:proofErr w:type="spellEnd"/>
      <w:r w:rsidRPr="00E97CB9">
        <w:rPr>
          <w:rFonts w:ascii="Times New Roman" w:hAnsi="Times New Roman" w:cs="Times New Roman"/>
          <w:bCs/>
          <w:sz w:val="24"/>
          <w:szCs w:val="24"/>
        </w:rPr>
        <w:t xml:space="preserve"> ethics </w:t>
      </w:r>
      <w:proofErr w:type="gramStart"/>
      <w:r w:rsidRPr="00E97CB9">
        <w:rPr>
          <w:rFonts w:ascii="Times New Roman" w:hAnsi="Times New Roman" w:cs="Times New Roman"/>
          <w:bCs/>
          <w:sz w:val="24"/>
          <w:szCs w:val="24"/>
        </w:rPr>
        <w:t xml:space="preserve">collection  </w:t>
      </w:r>
      <w:r w:rsidR="00F85134" w:rsidRPr="00E97CB9">
        <w:rPr>
          <w:rFonts w:ascii="Times New Roman" w:hAnsi="Times New Roman" w:cs="Times New Roman"/>
          <w:bCs/>
          <w:sz w:val="24"/>
          <w:szCs w:val="24"/>
        </w:rPr>
        <w:t>=</w:t>
      </w:r>
      <w:proofErr w:type="gramEnd"/>
      <w:r w:rsidRPr="00E97CB9">
        <w:rPr>
          <w:rFonts w:ascii="Times New Roman" w:hAnsi="Times New Roman" w:cs="Times New Roman"/>
          <w:bCs/>
          <w:sz w:val="24"/>
          <w:szCs w:val="24"/>
        </w:rPr>
        <w:t xml:space="preserve"> </w:t>
      </w:r>
      <w:r w:rsidR="00F85134" w:rsidRPr="00E97CB9">
        <w:rPr>
          <w:rFonts w:ascii="Times New Roman" w:hAnsi="Times New Roman" w:cs="Times New Roman"/>
          <w:bCs/>
          <w:sz w:val="24"/>
          <w:szCs w:val="24"/>
        </w:rPr>
        <w:t xml:space="preserve"> 3,060 / 8,817 = 0.347</w:t>
      </w:r>
      <w:r w:rsidRPr="00E97CB9">
        <w:rPr>
          <w:rFonts w:ascii="Times New Roman" w:hAnsi="Times New Roman" w:cs="Times New Roman"/>
          <w:bCs/>
          <w:sz w:val="24"/>
          <w:szCs w:val="24"/>
        </w:rPr>
        <w:t>.  Note that the 3</w:t>
      </w:r>
      <w:r w:rsidR="00E97CB9">
        <w:rPr>
          <w:rFonts w:ascii="Times New Roman" w:hAnsi="Times New Roman" w:cs="Times New Roman"/>
          <w:bCs/>
          <w:sz w:val="24"/>
          <w:szCs w:val="24"/>
        </w:rPr>
        <w:t>,</w:t>
      </w:r>
      <w:r w:rsidRPr="00E97CB9">
        <w:rPr>
          <w:rFonts w:ascii="Times New Roman" w:hAnsi="Times New Roman" w:cs="Times New Roman"/>
          <w:bCs/>
          <w:sz w:val="24"/>
          <w:szCs w:val="24"/>
        </w:rPr>
        <w:t xml:space="preserve">060 circulations represent the total circulation from all </w:t>
      </w:r>
      <w:proofErr w:type="spellStart"/>
      <w:r w:rsidRPr="00E97CB9">
        <w:rPr>
          <w:rFonts w:ascii="Times New Roman" w:hAnsi="Times New Roman" w:cs="Times New Roman"/>
          <w:bCs/>
          <w:sz w:val="24"/>
          <w:szCs w:val="24"/>
        </w:rPr>
        <w:t>OhioLINK</w:t>
      </w:r>
      <w:proofErr w:type="spellEnd"/>
      <w:r w:rsidRPr="00E97CB9">
        <w:rPr>
          <w:rFonts w:ascii="Times New Roman" w:hAnsi="Times New Roman" w:cs="Times New Roman"/>
          <w:bCs/>
          <w:sz w:val="24"/>
          <w:szCs w:val="24"/>
        </w:rPr>
        <w:t xml:space="preserve"> libraries for the manifestations held by the University of Akron.  Another way of viewing this is that comprehensiveness is the proportion of the year’s circulation that would have been satisfied in all </w:t>
      </w:r>
      <w:proofErr w:type="spellStart"/>
      <w:r w:rsidRPr="00E97CB9">
        <w:rPr>
          <w:rFonts w:ascii="Times New Roman" w:hAnsi="Times New Roman" w:cs="Times New Roman"/>
          <w:bCs/>
          <w:sz w:val="24"/>
          <w:szCs w:val="24"/>
        </w:rPr>
        <w:t>OhioLINK</w:t>
      </w:r>
      <w:proofErr w:type="spellEnd"/>
      <w:r w:rsidRPr="00E97CB9">
        <w:rPr>
          <w:rFonts w:ascii="Times New Roman" w:hAnsi="Times New Roman" w:cs="Times New Roman"/>
          <w:bCs/>
          <w:sz w:val="24"/>
          <w:szCs w:val="24"/>
        </w:rPr>
        <w:t xml:space="preserve"> libraries relied solely on the manifestations held at Akron.</w:t>
      </w:r>
      <w:r w:rsidR="00E97CB9">
        <w:rPr>
          <w:rFonts w:ascii="Times New Roman" w:hAnsi="Times New Roman" w:cs="Times New Roman"/>
          <w:bCs/>
          <w:sz w:val="24"/>
          <w:szCs w:val="24"/>
        </w:rPr>
        <w:t xml:space="preserve">  </w:t>
      </w:r>
    </w:p>
    <w:p w:rsidR="005F2127" w:rsidRPr="00E97CB9" w:rsidRDefault="005F2127" w:rsidP="00F85134">
      <w:pPr>
        <w:rPr>
          <w:rFonts w:ascii="Times New Roman" w:hAnsi="Times New Roman" w:cs="Times New Roman"/>
          <w:b/>
          <w:bCs/>
          <w:sz w:val="24"/>
          <w:szCs w:val="24"/>
        </w:rPr>
      </w:pPr>
    </w:p>
    <w:p w:rsidR="00941277" w:rsidRPr="00E97CB9" w:rsidRDefault="00941277" w:rsidP="00941277">
      <w:pPr>
        <w:rPr>
          <w:rFonts w:ascii="Times New Roman" w:eastAsia="Times New Roman" w:hAnsi="Times New Roman" w:cs="Times New Roman"/>
          <w:bCs/>
          <w:color w:val="000000"/>
          <w:sz w:val="24"/>
          <w:szCs w:val="24"/>
        </w:rPr>
      </w:pPr>
      <w:proofErr w:type="gramStart"/>
      <w:r w:rsidRPr="00941277">
        <w:rPr>
          <w:rFonts w:ascii="Times New Roman" w:eastAsia="Times New Roman" w:hAnsi="Times New Roman" w:cs="Times New Roman"/>
          <w:b/>
          <w:bCs/>
          <w:color w:val="000000"/>
          <w:sz w:val="24"/>
          <w:szCs w:val="24"/>
        </w:rPr>
        <w:t>Average Age</w:t>
      </w:r>
      <w:r w:rsidRPr="00E97CB9">
        <w:rPr>
          <w:rFonts w:ascii="Times New Roman" w:eastAsia="Times New Roman" w:hAnsi="Times New Roman" w:cs="Times New Roman"/>
          <w:b/>
          <w:bCs/>
          <w:color w:val="000000"/>
          <w:sz w:val="24"/>
          <w:szCs w:val="24"/>
        </w:rPr>
        <w:t xml:space="preserve">:  </w:t>
      </w:r>
      <w:r w:rsidRPr="00E97CB9">
        <w:rPr>
          <w:rFonts w:ascii="Times New Roman" w:eastAsia="Times New Roman" w:hAnsi="Times New Roman" w:cs="Times New Roman"/>
          <w:bCs/>
          <w:color w:val="000000"/>
          <w:sz w:val="24"/>
          <w:szCs w:val="24"/>
        </w:rPr>
        <w:t>The average age of the books in the collection based on the book’s publication date.</w:t>
      </w:r>
      <w:proofErr w:type="gramEnd"/>
    </w:p>
    <w:p w:rsidR="00941277" w:rsidRPr="00E97CB9" w:rsidRDefault="00941277" w:rsidP="00941277">
      <w:pPr>
        <w:rPr>
          <w:rFonts w:ascii="Times New Roman" w:eastAsia="Times New Roman" w:hAnsi="Times New Roman" w:cs="Times New Roman"/>
          <w:b/>
          <w:bCs/>
          <w:color w:val="000000"/>
          <w:sz w:val="24"/>
          <w:szCs w:val="24"/>
        </w:rPr>
      </w:pPr>
    </w:p>
    <w:p w:rsidR="00941277" w:rsidRPr="00E97CB9" w:rsidRDefault="00941277" w:rsidP="00941277">
      <w:pPr>
        <w:rPr>
          <w:rFonts w:ascii="Times New Roman" w:eastAsia="Times New Roman" w:hAnsi="Times New Roman" w:cs="Times New Roman"/>
          <w:b/>
          <w:bCs/>
          <w:color w:val="000000"/>
          <w:sz w:val="24"/>
          <w:szCs w:val="24"/>
        </w:rPr>
      </w:pPr>
      <w:r w:rsidRPr="00941277">
        <w:rPr>
          <w:rFonts w:ascii="Times New Roman" w:eastAsia="Times New Roman" w:hAnsi="Times New Roman" w:cs="Times New Roman"/>
          <w:b/>
          <w:bCs/>
          <w:color w:val="000000"/>
          <w:sz w:val="24"/>
          <w:szCs w:val="24"/>
        </w:rPr>
        <w:t>Percent English</w:t>
      </w:r>
      <w:r w:rsidR="004C1B00" w:rsidRPr="00E97CB9">
        <w:rPr>
          <w:rFonts w:ascii="Times New Roman" w:eastAsia="Times New Roman" w:hAnsi="Times New Roman" w:cs="Times New Roman"/>
          <w:b/>
          <w:bCs/>
          <w:color w:val="000000"/>
          <w:sz w:val="24"/>
          <w:szCs w:val="24"/>
        </w:rPr>
        <w:t xml:space="preserve">:  </w:t>
      </w:r>
      <w:r w:rsidR="004C1B00" w:rsidRPr="00E97CB9">
        <w:rPr>
          <w:rFonts w:ascii="Times New Roman" w:eastAsia="Times New Roman" w:hAnsi="Times New Roman" w:cs="Times New Roman"/>
          <w:bCs/>
          <w:color w:val="000000"/>
          <w:sz w:val="24"/>
          <w:szCs w:val="24"/>
        </w:rPr>
        <w:t>The percentage of the collection that are English language books.</w:t>
      </w:r>
    </w:p>
    <w:p w:rsidR="00941277" w:rsidRPr="00E97CB9" w:rsidRDefault="00941277" w:rsidP="00941277">
      <w:pPr>
        <w:rPr>
          <w:rFonts w:ascii="Times New Roman" w:eastAsia="Times New Roman" w:hAnsi="Times New Roman" w:cs="Times New Roman"/>
          <w:b/>
          <w:bCs/>
          <w:color w:val="000000"/>
          <w:sz w:val="24"/>
          <w:szCs w:val="24"/>
        </w:rPr>
      </w:pPr>
    </w:p>
    <w:p w:rsidR="00F85134" w:rsidRPr="00E97CB9" w:rsidRDefault="00F85134">
      <w:pPr>
        <w:rPr>
          <w:rFonts w:ascii="Times New Roman" w:hAnsi="Times New Roman" w:cs="Times New Roman"/>
          <w:sz w:val="24"/>
          <w:szCs w:val="24"/>
        </w:rPr>
      </w:pPr>
      <w:r w:rsidRPr="00E97CB9">
        <w:rPr>
          <w:rFonts w:ascii="Times New Roman" w:hAnsi="Times New Roman" w:cs="Times New Roman"/>
          <w:b/>
          <w:sz w:val="24"/>
          <w:szCs w:val="24"/>
        </w:rPr>
        <w:t>Audience Level:</w:t>
      </w:r>
      <w:r w:rsidRPr="00E97CB9">
        <w:rPr>
          <w:rFonts w:ascii="Times New Roman" w:hAnsi="Times New Roman" w:cs="Times New Roman"/>
          <w:sz w:val="24"/>
          <w:szCs w:val="24"/>
        </w:rPr>
        <w:t xml:space="preserve">  The type of audience for which the collection is most suitable</w:t>
      </w:r>
      <w:r w:rsidRPr="00E97CB9">
        <w:rPr>
          <w:rStyle w:val="EndnoteReference"/>
          <w:rFonts w:ascii="Times New Roman" w:hAnsi="Times New Roman" w:cs="Times New Roman"/>
          <w:sz w:val="24"/>
          <w:szCs w:val="24"/>
        </w:rPr>
        <w:endnoteReference w:id="4"/>
      </w:r>
      <w:r w:rsidRPr="00E97CB9">
        <w:rPr>
          <w:rFonts w:ascii="Times New Roman" w:hAnsi="Times New Roman" w:cs="Times New Roman"/>
          <w:sz w:val="24"/>
          <w:szCs w:val="24"/>
        </w:rPr>
        <w:t xml:space="preserve">.   Most books in WorldCat have had their audience level estimated based on the type of libraries that have acquired the book.  The audience level for an individual books ranges from maximum of one for very scholarly material to minimum of zero for picture books for preschoolers.   </w:t>
      </w:r>
      <w:r w:rsidR="00941277" w:rsidRPr="00E97CB9">
        <w:rPr>
          <w:rFonts w:ascii="Times New Roman" w:hAnsi="Times New Roman" w:cs="Times New Roman"/>
          <w:sz w:val="24"/>
          <w:szCs w:val="24"/>
        </w:rPr>
        <w:t xml:space="preserve">The audience </w:t>
      </w:r>
      <w:r w:rsidR="00941277" w:rsidRPr="00E97CB9">
        <w:rPr>
          <w:rFonts w:ascii="Times New Roman" w:hAnsi="Times New Roman" w:cs="Times New Roman"/>
          <w:sz w:val="24"/>
          <w:szCs w:val="24"/>
        </w:rPr>
        <w:lastRenderedPageBreak/>
        <w:t xml:space="preserve">level for a collection is the average of the audience levels of the books in the collection.  In general, collections with high audience levels will be more scholarly or research focused than collections with lower audience levels. </w:t>
      </w:r>
    </w:p>
    <w:p w:rsidR="00941277" w:rsidRDefault="00941277"/>
    <w:sectPr w:rsidR="00941277" w:rsidSect="00C26442">
      <w:endnotePr>
        <w:numFmt w:val="decimal"/>
      </w:endnotePr>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2BCD" w:rsidRDefault="00582BCD" w:rsidP="00F85134">
      <w:r>
        <w:separator/>
      </w:r>
    </w:p>
  </w:endnote>
  <w:endnote w:type="continuationSeparator" w:id="0">
    <w:p w:rsidR="00582BCD" w:rsidRDefault="00582BCD" w:rsidP="00F85134">
      <w:r>
        <w:continuationSeparator/>
      </w:r>
    </w:p>
  </w:endnote>
  <w:endnote w:id="1">
    <w:p w:rsidR="00582BCD" w:rsidRPr="00E97CB9" w:rsidRDefault="00582BCD">
      <w:pPr>
        <w:pStyle w:val="EndnoteText"/>
        <w:rPr>
          <w:rFonts w:ascii="Times New Roman" w:hAnsi="Times New Roman" w:cs="Times New Roman"/>
        </w:rPr>
      </w:pPr>
      <w:r>
        <w:rPr>
          <w:rStyle w:val="EndnoteReference"/>
        </w:rPr>
        <w:endnoteRef/>
      </w:r>
      <w:r>
        <w:t xml:space="preserve"> </w:t>
      </w:r>
      <w:proofErr w:type="gramStart"/>
      <w:r w:rsidRPr="00E97CB9">
        <w:rPr>
          <w:rFonts w:ascii="Times New Roman" w:hAnsi="Times New Roman" w:cs="Times New Roman"/>
        </w:rPr>
        <w:t xml:space="preserve">Hickey, T., &amp; </w:t>
      </w:r>
      <w:proofErr w:type="spellStart"/>
      <w:r w:rsidRPr="00E97CB9">
        <w:rPr>
          <w:rFonts w:ascii="Times New Roman" w:hAnsi="Times New Roman" w:cs="Times New Roman"/>
        </w:rPr>
        <w:t>Toves</w:t>
      </w:r>
      <w:proofErr w:type="spellEnd"/>
      <w:r w:rsidRPr="00E97CB9">
        <w:rPr>
          <w:rFonts w:ascii="Times New Roman" w:hAnsi="Times New Roman" w:cs="Times New Roman"/>
        </w:rPr>
        <w:t>, J. (2005, April).</w:t>
      </w:r>
      <w:proofErr w:type="gramEnd"/>
      <w:r w:rsidRPr="00E97CB9">
        <w:rPr>
          <w:rFonts w:ascii="Times New Roman" w:hAnsi="Times New Roman" w:cs="Times New Roman"/>
        </w:rPr>
        <w:t xml:space="preserve"> </w:t>
      </w:r>
      <w:proofErr w:type="gramStart"/>
      <w:r w:rsidRPr="00E97CB9">
        <w:rPr>
          <w:rFonts w:ascii="Times New Roman" w:hAnsi="Times New Roman" w:cs="Times New Roman"/>
        </w:rPr>
        <w:t>FRBR work-set algorithm.</w:t>
      </w:r>
      <w:proofErr w:type="gramEnd"/>
      <w:r w:rsidRPr="00E97CB9">
        <w:rPr>
          <w:rFonts w:ascii="Times New Roman" w:hAnsi="Times New Roman" w:cs="Times New Roman"/>
        </w:rPr>
        <w:t xml:space="preserve"> Accessed Sept. 20, 2007 from </w:t>
      </w:r>
      <w:hyperlink r:id="rId1" w:history="1">
        <w:r w:rsidRPr="00E97CB9">
          <w:rPr>
            <w:rStyle w:val="Hyperlink"/>
            <w:rFonts w:ascii="Times New Roman" w:hAnsi="Times New Roman" w:cs="Times New Roman"/>
          </w:rPr>
          <w:t>http://www.oclc.org/research/projects/frbr/default.htm</w:t>
        </w:r>
      </w:hyperlink>
    </w:p>
  </w:endnote>
  <w:endnote w:id="2">
    <w:p w:rsidR="00582BCD" w:rsidRPr="00E97CB9" w:rsidRDefault="00582BCD">
      <w:pPr>
        <w:pStyle w:val="EndnoteText"/>
        <w:rPr>
          <w:rFonts w:ascii="Times New Roman" w:hAnsi="Times New Roman" w:cs="Times New Roman"/>
        </w:rPr>
      </w:pPr>
      <w:r w:rsidRPr="00E97CB9">
        <w:rPr>
          <w:rStyle w:val="EndnoteReference"/>
          <w:rFonts w:ascii="Times New Roman" w:hAnsi="Times New Roman" w:cs="Times New Roman"/>
        </w:rPr>
        <w:endnoteRef/>
      </w:r>
      <w:r w:rsidRPr="00E97CB9">
        <w:rPr>
          <w:rFonts w:ascii="Times New Roman" w:hAnsi="Times New Roman" w:cs="Times New Roman"/>
        </w:rPr>
        <w:t xml:space="preserve"> </w:t>
      </w:r>
      <w:proofErr w:type="gramStart"/>
      <w:r w:rsidRPr="00E97CB9">
        <w:rPr>
          <w:rFonts w:ascii="Times New Roman" w:hAnsi="Times New Roman" w:cs="Times New Roman"/>
        </w:rPr>
        <w:t>IFLA Committee on the Functional Requirements for Bibliographic Records.</w:t>
      </w:r>
      <w:proofErr w:type="gramEnd"/>
      <w:r w:rsidRPr="00E97CB9">
        <w:rPr>
          <w:rFonts w:ascii="Times New Roman" w:hAnsi="Times New Roman" w:cs="Times New Roman"/>
        </w:rPr>
        <w:t xml:space="preserve"> 1998. FRBR final report. Munich: K. G. Saur. </w:t>
      </w:r>
      <w:proofErr w:type="gramStart"/>
      <w:r w:rsidRPr="00E97CB9">
        <w:rPr>
          <w:rFonts w:ascii="Times New Roman" w:hAnsi="Times New Roman" w:cs="Times New Roman"/>
        </w:rPr>
        <w:t xml:space="preserve">Accessed Sept. 20, 2007, from </w:t>
      </w:r>
      <w:hyperlink r:id="rId2" w:history="1">
        <w:r w:rsidRPr="00AF6C43">
          <w:rPr>
            <w:rStyle w:val="Hyperlink"/>
          </w:rPr>
          <w:t>http://archive.ifla.org/VII/s13/frbr/frbr_2008.pdf</w:t>
        </w:r>
      </w:hyperlink>
      <w:r>
        <w:t>.</w:t>
      </w:r>
      <w:proofErr w:type="gramEnd"/>
      <w:r>
        <w:t xml:space="preserve"> </w:t>
      </w:r>
    </w:p>
  </w:endnote>
  <w:endnote w:id="3">
    <w:p w:rsidR="00582BCD" w:rsidRDefault="00582BCD">
      <w:pPr>
        <w:pStyle w:val="EndnoteText"/>
      </w:pPr>
      <w:r w:rsidRPr="00346D48">
        <w:rPr>
          <w:rStyle w:val="EndnoteReference"/>
          <w:rFonts w:ascii="Times New Roman" w:hAnsi="Times New Roman" w:cs="Times New Roman"/>
          <w:sz w:val="24"/>
          <w:szCs w:val="24"/>
        </w:rPr>
        <w:endnoteRef/>
      </w:r>
      <w:r w:rsidRPr="00346D48">
        <w:rPr>
          <w:rFonts w:ascii="Times New Roman" w:hAnsi="Times New Roman" w:cs="Times New Roman"/>
          <w:sz w:val="24"/>
          <w:szCs w:val="24"/>
        </w:rPr>
        <w:t xml:space="preserve"> The </w:t>
      </w:r>
      <w:r w:rsidRPr="00346D48">
        <w:rPr>
          <w:rFonts w:ascii="Times New Roman" w:hAnsi="Times New Roman" w:cs="Times New Roman"/>
          <w:bCs/>
          <w:sz w:val="24"/>
          <w:szCs w:val="24"/>
        </w:rPr>
        <w:t>total</w:t>
      </w:r>
      <w:r w:rsidRPr="00E97CB9">
        <w:rPr>
          <w:rFonts w:ascii="Times New Roman" w:hAnsi="Times New Roman" w:cs="Times New Roman"/>
          <w:bCs/>
          <w:sz w:val="24"/>
          <w:szCs w:val="24"/>
        </w:rPr>
        <w:t xml:space="preserve"> circulation from all </w:t>
      </w:r>
      <w:proofErr w:type="spellStart"/>
      <w:r w:rsidRPr="00E97CB9">
        <w:rPr>
          <w:rFonts w:ascii="Times New Roman" w:hAnsi="Times New Roman" w:cs="Times New Roman"/>
          <w:bCs/>
          <w:sz w:val="24"/>
          <w:szCs w:val="24"/>
        </w:rPr>
        <w:t>OhioLINK</w:t>
      </w:r>
      <w:proofErr w:type="spellEnd"/>
      <w:r w:rsidRPr="00E97CB9">
        <w:rPr>
          <w:rFonts w:ascii="Times New Roman" w:hAnsi="Times New Roman" w:cs="Times New Roman"/>
          <w:bCs/>
          <w:sz w:val="24"/>
          <w:szCs w:val="24"/>
        </w:rPr>
        <w:t xml:space="preserve"> libraries for the manifestations held by the University of Akron</w:t>
      </w:r>
      <w:r w:rsidR="00346D48">
        <w:rPr>
          <w:rFonts w:ascii="Times New Roman" w:hAnsi="Times New Roman" w:cs="Times New Roman"/>
          <w:bCs/>
          <w:sz w:val="24"/>
          <w:szCs w:val="24"/>
        </w:rPr>
        <w:t xml:space="preserve"> is not shown is the table and is calculated by summing the </w:t>
      </w:r>
      <w:proofErr w:type="spellStart"/>
      <w:r w:rsidR="00346D48">
        <w:rPr>
          <w:rFonts w:ascii="Times New Roman" w:hAnsi="Times New Roman" w:cs="Times New Roman"/>
          <w:bCs/>
          <w:sz w:val="24"/>
          <w:szCs w:val="24"/>
        </w:rPr>
        <w:t>OhioLINK</w:t>
      </w:r>
      <w:proofErr w:type="spellEnd"/>
      <w:r w:rsidR="00346D48">
        <w:rPr>
          <w:rFonts w:ascii="Times New Roman" w:hAnsi="Times New Roman" w:cs="Times New Roman"/>
          <w:bCs/>
          <w:sz w:val="24"/>
          <w:szCs w:val="24"/>
        </w:rPr>
        <w:t xml:space="preserve"> circulation for each manifestation held by the University of Akron.</w:t>
      </w:r>
    </w:p>
  </w:endnote>
  <w:endnote w:id="4">
    <w:p w:rsidR="00582BCD" w:rsidRPr="00E97CB9" w:rsidRDefault="00582BCD" w:rsidP="00941277">
      <w:pPr>
        <w:rPr>
          <w:rFonts w:ascii="Times New Roman" w:hAnsi="Times New Roman" w:cs="Times New Roman"/>
          <w:sz w:val="20"/>
          <w:szCs w:val="20"/>
        </w:rPr>
      </w:pPr>
      <w:r w:rsidRPr="00E97CB9">
        <w:rPr>
          <w:rStyle w:val="EndnoteReference"/>
          <w:rFonts w:ascii="Times New Roman" w:hAnsi="Times New Roman" w:cs="Times New Roman"/>
          <w:sz w:val="20"/>
          <w:szCs w:val="20"/>
        </w:rPr>
        <w:endnoteRef/>
      </w:r>
      <w:r w:rsidRPr="00E97CB9">
        <w:rPr>
          <w:rFonts w:ascii="Times New Roman" w:hAnsi="Times New Roman" w:cs="Times New Roman"/>
          <w:sz w:val="20"/>
          <w:szCs w:val="20"/>
        </w:rPr>
        <w:t xml:space="preserve"> </w:t>
      </w:r>
      <w:r w:rsidRPr="00E97CB9">
        <w:rPr>
          <w:rFonts w:ascii="Times New Roman" w:hAnsi="Times New Roman" w:cs="Times New Roman"/>
          <w:sz w:val="20"/>
          <w:szCs w:val="20"/>
          <w:lang w:val="en-GB"/>
        </w:rPr>
        <w:t xml:space="preserve">O’Neill, Edward T., </w:t>
      </w:r>
      <w:r w:rsidRPr="00E97CB9">
        <w:rPr>
          <w:rFonts w:ascii="Times New Roman" w:hAnsi="Times New Roman" w:cs="Times New Roman"/>
          <w:sz w:val="20"/>
          <w:szCs w:val="20"/>
        </w:rPr>
        <w:t xml:space="preserve">Lynn </w:t>
      </w:r>
      <w:proofErr w:type="spellStart"/>
      <w:r w:rsidRPr="00E97CB9">
        <w:rPr>
          <w:rFonts w:ascii="Times New Roman" w:hAnsi="Times New Roman" w:cs="Times New Roman"/>
          <w:sz w:val="20"/>
          <w:szCs w:val="20"/>
        </w:rPr>
        <w:t>Silipigni</w:t>
      </w:r>
      <w:proofErr w:type="spellEnd"/>
      <w:r w:rsidRPr="00E97CB9">
        <w:rPr>
          <w:rFonts w:ascii="Times New Roman" w:hAnsi="Times New Roman" w:cs="Times New Roman"/>
          <w:sz w:val="20"/>
          <w:szCs w:val="20"/>
        </w:rPr>
        <w:t xml:space="preserve"> </w:t>
      </w:r>
      <w:proofErr w:type="spellStart"/>
      <w:r w:rsidRPr="00E97CB9">
        <w:rPr>
          <w:rFonts w:ascii="Times New Roman" w:hAnsi="Times New Roman" w:cs="Times New Roman"/>
          <w:sz w:val="20"/>
          <w:szCs w:val="20"/>
        </w:rPr>
        <w:t>Connaway</w:t>
      </w:r>
      <w:proofErr w:type="spellEnd"/>
      <w:r w:rsidRPr="00E97CB9">
        <w:rPr>
          <w:rFonts w:ascii="Times New Roman" w:hAnsi="Times New Roman" w:cs="Times New Roman"/>
          <w:sz w:val="20"/>
          <w:szCs w:val="20"/>
        </w:rPr>
        <w:t>,</w:t>
      </w:r>
      <w:r w:rsidRPr="00E97CB9">
        <w:rPr>
          <w:rFonts w:ascii="Times New Roman" w:eastAsia="Tahoma" w:hAnsi="Times New Roman" w:cs="Times New Roman"/>
          <w:sz w:val="20"/>
          <w:szCs w:val="20"/>
        </w:rPr>
        <w:t xml:space="preserve"> and Timothy J. Dickey,</w:t>
      </w:r>
      <w:r w:rsidRPr="00E97CB9">
        <w:rPr>
          <w:rFonts w:ascii="Times New Roman" w:hAnsi="Times New Roman" w:cs="Times New Roman"/>
          <w:sz w:val="20"/>
          <w:szCs w:val="20"/>
          <w:lang w:val="en-GB"/>
        </w:rPr>
        <w:t xml:space="preserve"> “Estimating the Audience Level for Library Resources”.  </w:t>
      </w:r>
      <w:proofErr w:type="gramStart"/>
      <w:r w:rsidRPr="00E97CB9">
        <w:rPr>
          <w:rFonts w:ascii="Times New Roman" w:hAnsi="Times New Roman" w:cs="Times New Roman"/>
          <w:i/>
          <w:sz w:val="20"/>
          <w:szCs w:val="20"/>
          <w:lang w:val="en-GB"/>
        </w:rPr>
        <w:t>Journal</w:t>
      </w:r>
      <w:r w:rsidRPr="00E97CB9">
        <w:rPr>
          <w:rFonts w:ascii="Times New Roman" w:hAnsi="Times New Roman" w:cs="Times New Roman"/>
          <w:i/>
          <w:sz w:val="20"/>
          <w:szCs w:val="20"/>
        </w:rPr>
        <w:t xml:space="preserve"> of the American Society for Information Science</w:t>
      </w:r>
      <w:r w:rsidRPr="00E97CB9">
        <w:rPr>
          <w:rFonts w:ascii="Times New Roman" w:hAnsi="Times New Roman" w:cs="Times New Roman"/>
          <w:sz w:val="20"/>
          <w:szCs w:val="20"/>
        </w:rPr>
        <w:t xml:space="preserve">, </w:t>
      </w:r>
      <w:proofErr w:type="spellStart"/>
      <w:r w:rsidRPr="00E97CB9">
        <w:rPr>
          <w:rFonts w:ascii="Times New Roman" w:hAnsi="Times New Roman" w:cs="Times New Roman"/>
          <w:sz w:val="20"/>
          <w:szCs w:val="20"/>
        </w:rPr>
        <w:t>Vol</w:t>
      </w:r>
      <w:proofErr w:type="spellEnd"/>
      <w:r w:rsidRPr="00E97CB9">
        <w:rPr>
          <w:rFonts w:ascii="Times New Roman" w:hAnsi="Times New Roman" w:cs="Times New Roman"/>
          <w:sz w:val="20"/>
          <w:szCs w:val="20"/>
        </w:rPr>
        <w:t xml:space="preserve"> 59, No 13, 2008.</w:t>
      </w:r>
      <w:proofErr w:type="gramEnd"/>
    </w:p>
    <w:p w:rsidR="00582BCD" w:rsidRDefault="00582BCD" w:rsidP="00941277">
      <w:pPr>
        <w:pStyle w:val="EndnoteText"/>
      </w:pP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2BCD" w:rsidRDefault="00582BCD" w:rsidP="00F85134">
      <w:r>
        <w:separator/>
      </w:r>
    </w:p>
  </w:footnote>
  <w:footnote w:type="continuationSeparator" w:id="0">
    <w:p w:rsidR="00582BCD" w:rsidRDefault="00582BCD" w:rsidP="00F8513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386007"/>
    <w:multiLevelType w:val="hybridMultilevel"/>
    <w:tmpl w:val="80860F42"/>
    <w:lvl w:ilvl="0" w:tplc="B7E8E2BA">
      <w:start w:val="1"/>
      <w:numFmt w:val="bullet"/>
      <w:lvlText w:val=""/>
      <w:lvlJc w:val="left"/>
      <w:pPr>
        <w:tabs>
          <w:tab w:val="num" w:pos="720"/>
        </w:tabs>
        <w:ind w:left="720" w:hanging="360"/>
      </w:pPr>
      <w:rPr>
        <w:rFonts w:ascii="Wingdings" w:hAnsi="Wingdings" w:hint="default"/>
      </w:rPr>
    </w:lvl>
    <w:lvl w:ilvl="1" w:tplc="A27E34F4" w:tentative="1">
      <w:start w:val="1"/>
      <w:numFmt w:val="bullet"/>
      <w:lvlText w:val=""/>
      <w:lvlJc w:val="left"/>
      <w:pPr>
        <w:tabs>
          <w:tab w:val="num" w:pos="1440"/>
        </w:tabs>
        <w:ind w:left="1440" w:hanging="360"/>
      </w:pPr>
      <w:rPr>
        <w:rFonts w:ascii="Wingdings" w:hAnsi="Wingdings" w:hint="default"/>
      </w:rPr>
    </w:lvl>
    <w:lvl w:ilvl="2" w:tplc="030A04CC" w:tentative="1">
      <w:start w:val="1"/>
      <w:numFmt w:val="bullet"/>
      <w:lvlText w:val=""/>
      <w:lvlJc w:val="left"/>
      <w:pPr>
        <w:tabs>
          <w:tab w:val="num" w:pos="2160"/>
        </w:tabs>
        <w:ind w:left="2160" w:hanging="360"/>
      </w:pPr>
      <w:rPr>
        <w:rFonts w:ascii="Wingdings" w:hAnsi="Wingdings" w:hint="default"/>
      </w:rPr>
    </w:lvl>
    <w:lvl w:ilvl="3" w:tplc="51824F88" w:tentative="1">
      <w:start w:val="1"/>
      <w:numFmt w:val="bullet"/>
      <w:lvlText w:val=""/>
      <w:lvlJc w:val="left"/>
      <w:pPr>
        <w:tabs>
          <w:tab w:val="num" w:pos="2880"/>
        </w:tabs>
        <w:ind w:left="2880" w:hanging="360"/>
      </w:pPr>
      <w:rPr>
        <w:rFonts w:ascii="Wingdings" w:hAnsi="Wingdings" w:hint="default"/>
      </w:rPr>
    </w:lvl>
    <w:lvl w:ilvl="4" w:tplc="66541EFA" w:tentative="1">
      <w:start w:val="1"/>
      <w:numFmt w:val="bullet"/>
      <w:lvlText w:val=""/>
      <w:lvlJc w:val="left"/>
      <w:pPr>
        <w:tabs>
          <w:tab w:val="num" w:pos="3600"/>
        </w:tabs>
        <w:ind w:left="3600" w:hanging="360"/>
      </w:pPr>
      <w:rPr>
        <w:rFonts w:ascii="Wingdings" w:hAnsi="Wingdings" w:hint="default"/>
      </w:rPr>
    </w:lvl>
    <w:lvl w:ilvl="5" w:tplc="D586FFA0" w:tentative="1">
      <w:start w:val="1"/>
      <w:numFmt w:val="bullet"/>
      <w:lvlText w:val=""/>
      <w:lvlJc w:val="left"/>
      <w:pPr>
        <w:tabs>
          <w:tab w:val="num" w:pos="4320"/>
        </w:tabs>
        <w:ind w:left="4320" w:hanging="360"/>
      </w:pPr>
      <w:rPr>
        <w:rFonts w:ascii="Wingdings" w:hAnsi="Wingdings" w:hint="default"/>
      </w:rPr>
    </w:lvl>
    <w:lvl w:ilvl="6" w:tplc="673832A6" w:tentative="1">
      <w:start w:val="1"/>
      <w:numFmt w:val="bullet"/>
      <w:lvlText w:val=""/>
      <w:lvlJc w:val="left"/>
      <w:pPr>
        <w:tabs>
          <w:tab w:val="num" w:pos="5040"/>
        </w:tabs>
        <w:ind w:left="5040" w:hanging="360"/>
      </w:pPr>
      <w:rPr>
        <w:rFonts w:ascii="Wingdings" w:hAnsi="Wingdings" w:hint="default"/>
      </w:rPr>
    </w:lvl>
    <w:lvl w:ilvl="7" w:tplc="9BDE125C" w:tentative="1">
      <w:start w:val="1"/>
      <w:numFmt w:val="bullet"/>
      <w:lvlText w:val=""/>
      <w:lvlJc w:val="left"/>
      <w:pPr>
        <w:tabs>
          <w:tab w:val="num" w:pos="5760"/>
        </w:tabs>
        <w:ind w:left="5760" w:hanging="360"/>
      </w:pPr>
      <w:rPr>
        <w:rFonts w:ascii="Wingdings" w:hAnsi="Wingdings" w:hint="default"/>
      </w:rPr>
    </w:lvl>
    <w:lvl w:ilvl="8" w:tplc="A6769792" w:tentative="1">
      <w:start w:val="1"/>
      <w:numFmt w:val="bullet"/>
      <w:lvlText w:val=""/>
      <w:lvlJc w:val="left"/>
      <w:pPr>
        <w:tabs>
          <w:tab w:val="num" w:pos="6480"/>
        </w:tabs>
        <w:ind w:left="6480" w:hanging="360"/>
      </w:pPr>
      <w:rPr>
        <w:rFonts w:ascii="Wingdings" w:hAnsi="Wingdings" w:hint="default"/>
      </w:rPr>
    </w:lvl>
  </w:abstractNum>
  <w:abstractNum w:abstractNumId="1">
    <w:nsid w:val="183906D6"/>
    <w:multiLevelType w:val="hybridMultilevel"/>
    <w:tmpl w:val="24E0ECB6"/>
    <w:lvl w:ilvl="0" w:tplc="0409000F">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F5A02BA"/>
    <w:multiLevelType w:val="hybridMultilevel"/>
    <w:tmpl w:val="9D122258"/>
    <w:lvl w:ilvl="0" w:tplc="04090001">
      <w:start w:val="1"/>
      <w:numFmt w:val="bullet"/>
      <w:lvlText w:val=""/>
      <w:lvlJc w:val="left"/>
      <w:pPr>
        <w:tabs>
          <w:tab w:val="num" w:pos="720"/>
        </w:tabs>
        <w:ind w:left="720" w:hanging="360"/>
      </w:pPr>
      <w:rPr>
        <w:rFonts w:ascii="Symbol" w:hAnsi="Symbol" w:hint="default"/>
      </w:rPr>
    </w:lvl>
    <w:lvl w:ilvl="1" w:tplc="1B443F22">
      <w:start w:val="1"/>
      <w:numFmt w:val="decimal"/>
      <w:lvlText w:val="%2."/>
      <w:lvlJc w:val="left"/>
      <w:pPr>
        <w:tabs>
          <w:tab w:val="num" w:pos="1440"/>
        </w:tabs>
        <w:ind w:left="1440" w:hanging="360"/>
      </w:pPr>
    </w:lvl>
    <w:lvl w:ilvl="2" w:tplc="5A22558C">
      <w:start w:val="1"/>
      <w:numFmt w:val="decimal"/>
      <w:lvlText w:val="%3."/>
      <w:lvlJc w:val="left"/>
      <w:pPr>
        <w:tabs>
          <w:tab w:val="num" w:pos="2160"/>
        </w:tabs>
        <w:ind w:left="2160" w:hanging="360"/>
      </w:pPr>
    </w:lvl>
    <w:lvl w:ilvl="3" w:tplc="76EA628C">
      <w:start w:val="1"/>
      <w:numFmt w:val="decimal"/>
      <w:lvlText w:val="%4."/>
      <w:lvlJc w:val="left"/>
      <w:pPr>
        <w:tabs>
          <w:tab w:val="num" w:pos="2880"/>
        </w:tabs>
        <w:ind w:left="2880" w:hanging="360"/>
      </w:pPr>
    </w:lvl>
    <w:lvl w:ilvl="4" w:tplc="F4B67C00">
      <w:start w:val="1"/>
      <w:numFmt w:val="decimal"/>
      <w:lvlText w:val="%5."/>
      <w:lvlJc w:val="left"/>
      <w:pPr>
        <w:tabs>
          <w:tab w:val="num" w:pos="3600"/>
        </w:tabs>
        <w:ind w:left="3600" w:hanging="360"/>
      </w:pPr>
    </w:lvl>
    <w:lvl w:ilvl="5" w:tplc="9E7A345E">
      <w:start w:val="1"/>
      <w:numFmt w:val="decimal"/>
      <w:lvlText w:val="%6."/>
      <w:lvlJc w:val="left"/>
      <w:pPr>
        <w:tabs>
          <w:tab w:val="num" w:pos="4320"/>
        </w:tabs>
        <w:ind w:left="4320" w:hanging="360"/>
      </w:pPr>
    </w:lvl>
    <w:lvl w:ilvl="6" w:tplc="61CA063A">
      <w:start w:val="1"/>
      <w:numFmt w:val="decimal"/>
      <w:lvlText w:val="%7."/>
      <w:lvlJc w:val="left"/>
      <w:pPr>
        <w:tabs>
          <w:tab w:val="num" w:pos="5040"/>
        </w:tabs>
        <w:ind w:left="5040" w:hanging="360"/>
      </w:pPr>
    </w:lvl>
    <w:lvl w:ilvl="7" w:tplc="1B2241D8">
      <w:start w:val="1"/>
      <w:numFmt w:val="decimal"/>
      <w:lvlText w:val="%8."/>
      <w:lvlJc w:val="left"/>
      <w:pPr>
        <w:tabs>
          <w:tab w:val="num" w:pos="5760"/>
        </w:tabs>
        <w:ind w:left="5760" w:hanging="360"/>
      </w:pPr>
    </w:lvl>
    <w:lvl w:ilvl="8" w:tplc="4D2CEF04">
      <w:start w:val="1"/>
      <w:numFmt w:val="decimal"/>
      <w:lvlText w:val="%9."/>
      <w:lvlJc w:val="left"/>
      <w:pPr>
        <w:tabs>
          <w:tab w:val="num" w:pos="6480"/>
        </w:tabs>
        <w:ind w:left="6480" w:hanging="360"/>
      </w:pPr>
    </w:lvl>
  </w:abstractNum>
  <w:abstractNum w:abstractNumId="3">
    <w:nsid w:val="47A65FBF"/>
    <w:multiLevelType w:val="hybridMultilevel"/>
    <w:tmpl w:val="CA603C8E"/>
    <w:lvl w:ilvl="0" w:tplc="990629FC">
      <w:start w:val="1"/>
      <w:numFmt w:val="bullet"/>
      <w:lvlText w:val=""/>
      <w:lvlJc w:val="left"/>
      <w:pPr>
        <w:tabs>
          <w:tab w:val="num" w:pos="720"/>
        </w:tabs>
        <w:ind w:left="720" w:hanging="360"/>
      </w:pPr>
      <w:rPr>
        <w:rFonts w:ascii="Wingdings" w:hAnsi="Wingdings" w:hint="default"/>
      </w:rPr>
    </w:lvl>
    <w:lvl w:ilvl="1" w:tplc="1B443F22">
      <w:start w:val="1"/>
      <w:numFmt w:val="decimal"/>
      <w:lvlText w:val="%2."/>
      <w:lvlJc w:val="left"/>
      <w:pPr>
        <w:tabs>
          <w:tab w:val="num" w:pos="1440"/>
        </w:tabs>
        <w:ind w:left="1440" w:hanging="360"/>
      </w:pPr>
    </w:lvl>
    <w:lvl w:ilvl="2" w:tplc="5A22558C">
      <w:start w:val="1"/>
      <w:numFmt w:val="decimal"/>
      <w:lvlText w:val="%3."/>
      <w:lvlJc w:val="left"/>
      <w:pPr>
        <w:tabs>
          <w:tab w:val="num" w:pos="2160"/>
        </w:tabs>
        <w:ind w:left="2160" w:hanging="360"/>
      </w:pPr>
    </w:lvl>
    <w:lvl w:ilvl="3" w:tplc="76EA628C">
      <w:start w:val="1"/>
      <w:numFmt w:val="decimal"/>
      <w:lvlText w:val="%4."/>
      <w:lvlJc w:val="left"/>
      <w:pPr>
        <w:tabs>
          <w:tab w:val="num" w:pos="2880"/>
        </w:tabs>
        <w:ind w:left="2880" w:hanging="360"/>
      </w:pPr>
    </w:lvl>
    <w:lvl w:ilvl="4" w:tplc="F4B67C00">
      <w:start w:val="1"/>
      <w:numFmt w:val="decimal"/>
      <w:lvlText w:val="%5."/>
      <w:lvlJc w:val="left"/>
      <w:pPr>
        <w:tabs>
          <w:tab w:val="num" w:pos="3600"/>
        </w:tabs>
        <w:ind w:left="3600" w:hanging="360"/>
      </w:pPr>
    </w:lvl>
    <w:lvl w:ilvl="5" w:tplc="9E7A345E">
      <w:start w:val="1"/>
      <w:numFmt w:val="decimal"/>
      <w:lvlText w:val="%6."/>
      <w:lvlJc w:val="left"/>
      <w:pPr>
        <w:tabs>
          <w:tab w:val="num" w:pos="4320"/>
        </w:tabs>
        <w:ind w:left="4320" w:hanging="360"/>
      </w:pPr>
    </w:lvl>
    <w:lvl w:ilvl="6" w:tplc="61CA063A">
      <w:start w:val="1"/>
      <w:numFmt w:val="decimal"/>
      <w:lvlText w:val="%7."/>
      <w:lvlJc w:val="left"/>
      <w:pPr>
        <w:tabs>
          <w:tab w:val="num" w:pos="5040"/>
        </w:tabs>
        <w:ind w:left="5040" w:hanging="360"/>
      </w:pPr>
    </w:lvl>
    <w:lvl w:ilvl="7" w:tplc="1B2241D8">
      <w:start w:val="1"/>
      <w:numFmt w:val="decimal"/>
      <w:lvlText w:val="%8."/>
      <w:lvlJc w:val="left"/>
      <w:pPr>
        <w:tabs>
          <w:tab w:val="num" w:pos="5760"/>
        </w:tabs>
        <w:ind w:left="5760" w:hanging="360"/>
      </w:pPr>
    </w:lvl>
    <w:lvl w:ilvl="8" w:tplc="4D2CEF04">
      <w:start w:val="1"/>
      <w:numFmt w:val="decimal"/>
      <w:lvlText w:val="%9."/>
      <w:lvlJc w:val="left"/>
      <w:pPr>
        <w:tabs>
          <w:tab w:val="num" w:pos="6480"/>
        </w:tabs>
        <w:ind w:left="6480" w:hanging="360"/>
      </w:pPr>
    </w:lvl>
  </w:abstractNum>
  <w:abstractNum w:abstractNumId="4">
    <w:nsid w:val="4A2129FC"/>
    <w:multiLevelType w:val="hybridMultilevel"/>
    <w:tmpl w:val="B54CD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BBE06E4"/>
    <w:multiLevelType w:val="hybridMultilevel"/>
    <w:tmpl w:val="26F86C78"/>
    <w:lvl w:ilvl="0" w:tplc="04090001">
      <w:start w:val="1"/>
      <w:numFmt w:val="bullet"/>
      <w:lvlText w:val=""/>
      <w:lvlJc w:val="left"/>
      <w:pPr>
        <w:tabs>
          <w:tab w:val="num" w:pos="720"/>
        </w:tabs>
        <w:ind w:left="720" w:hanging="360"/>
      </w:pPr>
      <w:rPr>
        <w:rFonts w:ascii="Symbol" w:hAnsi="Symbol" w:hint="default"/>
      </w:rPr>
    </w:lvl>
    <w:lvl w:ilvl="1" w:tplc="A27E34F4" w:tentative="1">
      <w:start w:val="1"/>
      <w:numFmt w:val="bullet"/>
      <w:lvlText w:val=""/>
      <w:lvlJc w:val="left"/>
      <w:pPr>
        <w:tabs>
          <w:tab w:val="num" w:pos="1440"/>
        </w:tabs>
        <w:ind w:left="1440" w:hanging="360"/>
      </w:pPr>
      <w:rPr>
        <w:rFonts w:ascii="Wingdings" w:hAnsi="Wingdings" w:hint="default"/>
      </w:rPr>
    </w:lvl>
    <w:lvl w:ilvl="2" w:tplc="030A04CC" w:tentative="1">
      <w:start w:val="1"/>
      <w:numFmt w:val="bullet"/>
      <w:lvlText w:val=""/>
      <w:lvlJc w:val="left"/>
      <w:pPr>
        <w:tabs>
          <w:tab w:val="num" w:pos="2160"/>
        </w:tabs>
        <w:ind w:left="2160" w:hanging="360"/>
      </w:pPr>
      <w:rPr>
        <w:rFonts w:ascii="Wingdings" w:hAnsi="Wingdings" w:hint="default"/>
      </w:rPr>
    </w:lvl>
    <w:lvl w:ilvl="3" w:tplc="51824F88" w:tentative="1">
      <w:start w:val="1"/>
      <w:numFmt w:val="bullet"/>
      <w:lvlText w:val=""/>
      <w:lvlJc w:val="left"/>
      <w:pPr>
        <w:tabs>
          <w:tab w:val="num" w:pos="2880"/>
        </w:tabs>
        <w:ind w:left="2880" w:hanging="360"/>
      </w:pPr>
      <w:rPr>
        <w:rFonts w:ascii="Wingdings" w:hAnsi="Wingdings" w:hint="default"/>
      </w:rPr>
    </w:lvl>
    <w:lvl w:ilvl="4" w:tplc="66541EFA" w:tentative="1">
      <w:start w:val="1"/>
      <w:numFmt w:val="bullet"/>
      <w:lvlText w:val=""/>
      <w:lvlJc w:val="left"/>
      <w:pPr>
        <w:tabs>
          <w:tab w:val="num" w:pos="3600"/>
        </w:tabs>
        <w:ind w:left="3600" w:hanging="360"/>
      </w:pPr>
      <w:rPr>
        <w:rFonts w:ascii="Wingdings" w:hAnsi="Wingdings" w:hint="default"/>
      </w:rPr>
    </w:lvl>
    <w:lvl w:ilvl="5" w:tplc="D586FFA0" w:tentative="1">
      <w:start w:val="1"/>
      <w:numFmt w:val="bullet"/>
      <w:lvlText w:val=""/>
      <w:lvlJc w:val="left"/>
      <w:pPr>
        <w:tabs>
          <w:tab w:val="num" w:pos="4320"/>
        </w:tabs>
        <w:ind w:left="4320" w:hanging="360"/>
      </w:pPr>
      <w:rPr>
        <w:rFonts w:ascii="Wingdings" w:hAnsi="Wingdings" w:hint="default"/>
      </w:rPr>
    </w:lvl>
    <w:lvl w:ilvl="6" w:tplc="673832A6" w:tentative="1">
      <w:start w:val="1"/>
      <w:numFmt w:val="bullet"/>
      <w:lvlText w:val=""/>
      <w:lvlJc w:val="left"/>
      <w:pPr>
        <w:tabs>
          <w:tab w:val="num" w:pos="5040"/>
        </w:tabs>
        <w:ind w:left="5040" w:hanging="360"/>
      </w:pPr>
      <w:rPr>
        <w:rFonts w:ascii="Wingdings" w:hAnsi="Wingdings" w:hint="default"/>
      </w:rPr>
    </w:lvl>
    <w:lvl w:ilvl="7" w:tplc="9BDE125C" w:tentative="1">
      <w:start w:val="1"/>
      <w:numFmt w:val="bullet"/>
      <w:lvlText w:val=""/>
      <w:lvlJc w:val="left"/>
      <w:pPr>
        <w:tabs>
          <w:tab w:val="num" w:pos="5760"/>
        </w:tabs>
        <w:ind w:left="5760" w:hanging="360"/>
      </w:pPr>
      <w:rPr>
        <w:rFonts w:ascii="Wingdings" w:hAnsi="Wingdings" w:hint="default"/>
      </w:rPr>
    </w:lvl>
    <w:lvl w:ilvl="8" w:tplc="A6769792" w:tentative="1">
      <w:start w:val="1"/>
      <w:numFmt w:val="bullet"/>
      <w:lvlText w:val=""/>
      <w:lvlJc w:val="left"/>
      <w:pPr>
        <w:tabs>
          <w:tab w:val="num" w:pos="6480"/>
        </w:tabs>
        <w:ind w:left="6480" w:hanging="360"/>
      </w:pPr>
      <w:rPr>
        <w:rFonts w:ascii="Wingdings" w:hAnsi="Wingdings" w:hint="default"/>
      </w:r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
  </w:num>
  <w:num w:numId="4">
    <w:abstractNumId w:val="2"/>
  </w:num>
  <w:num w:numId="5">
    <w:abstractNumId w:val="5"/>
  </w:num>
  <w:num w:numId="6">
    <w:abstractNumId w:val="4"/>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numFmt w:val="decimal"/>
    <w:endnote w:id="-1"/>
    <w:endnote w:id="0"/>
  </w:endnotePr>
  <w:compat/>
  <w:rsids>
    <w:rsidRoot w:val="00F85134"/>
    <w:rsid w:val="0002672C"/>
    <w:rsid w:val="00216163"/>
    <w:rsid w:val="00276B13"/>
    <w:rsid w:val="003466C6"/>
    <w:rsid w:val="00346D48"/>
    <w:rsid w:val="004977B1"/>
    <w:rsid w:val="004C1B00"/>
    <w:rsid w:val="00582BCD"/>
    <w:rsid w:val="00586214"/>
    <w:rsid w:val="005F2127"/>
    <w:rsid w:val="0062359A"/>
    <w:rsid w:val="008815C0"/>
    <w:rsid w:val="008D5BDF"/>
    <w:rsid w:val="00941277"/>
    <w:rsid w:val="00996BCA"/>
    <w:rsid w:val="009A1370"/>
    <w:rsid w:val="00C26442"/>
    <w:rsid w:val="00CB7294"/>
    <w:rsid w:val="00D7739F"/>
    <w:rsid w:val="00E97CB9"/>
    <w:rsid w:val="00F85134"/>
    <w:rsid w:val="00FC679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134"/>
    <w:pPr>
      <w:spacing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85134"/>
    <w:pPr>
      <w:spacing w:before="100" w:beforeAutospacing="1" w:after="100" w:afterAutospacing="1"/>
    </w:pPr>
    <w:rPr>
      <w:rFonts w:ascii="Times New Roman" w:eastAsia="Times New Roman" w:hAnsi="Times New Roman" w:cs="Times New Roman"/>
      <w:sz w:val="24"/>
      <w:szCs w:val="24"/>
    </w:rPr>
  </w:style>
  <w:style w:type="paragraph" w:styleId="EndnoteText">
    <w:name w:val="endnote text"/>
    <w:basedOn w:val="Normal"/>
    <w:link w:val="EndnoteTextChar"/>
    <w:uiPriority w:val="99"/>
    <w:semiHidden/>
    <w:unhideWhenUsed/>
    <w:rsid w:val="00F85134"/>
    <w:rPr>
      <w:sz w:val="20"/>
      <w:szCs w:val="20"/>
    </w:rPr>
  </w:style>
  <w:style w:type="character" w:customStyle="1" w:styleId="EndnoteTextChar">
    <w:name w:val="Endnote Text Char"/>
    <w:basedOn w:val="DefaultParagraphFont"/>
    <w:link w:val="EndnoteText"/>
    <w:uiPriority w:val="99"/>
    <w:semiHidden/>
    <w:rsid w:val="00F85134"/>
    <w:rPr>
      <w:sz w:val="20"/>
      <w:szCs w:val="20"/>
    </w:rPr>
  </w:style>
  <w:style w:type="character" w:styleId="EndnoteReference">
    <w:name w:val="endnote reference"/>
    <w:basedOn w:val="DefaultParagraphFont"/>
    <w:uiPriority w:val="99"/>
    <w:semiHidden/>
    <w:unhideWhenUsed/>
    <w:rsid w:val="00F85134"/>
    <w:rPr>
      <w:vertAlign w:val="superscript"/>
    </w:rPr>
  </w:style>
  <w:style w:type="paragraph" w:styleId="FootnoteText">
    <w:name w:val="footnote text"/>
    <w:basedOn w:val="Normal"/>
    <w:link w:val="FootnoteTextChar"/>
    <w:uiPriority w:val="99"/>
    <w:semiHidden/>
    <w:unhideWhenUsed/>
    <w:rsid w:val="00F85134"/>
    <w:rPr>
      <w:sz w:val="20"/>
      <w:szCs w:val="20"/>
    </w:rPr>
  </w:style>
  <w:style w:type="character" w:customStyle="1" w:styleId="FootnoteTextChar">
    <w:name w:val="Footnote Text Char"/>
    <w:basedOn w:val="DefaultParagraphFont"/>
    <w:link w:val="FootnoteText"/>
    <w:uiPriority w:val="99"/>
    <w:semiHidden/>
    <w:rsid w:val="00F85134"/>
    <w:rPr>
      <w:sz w:val="20"/>
      <w:szCs w:val="20"/>
    </w:rPr>
  </w:style>
  <w:style w:type="character" w:styleId="FootnoteReference">
    <w:name w:val="footnote reference"/>
    <w:basedOn w:val="DefaultParagraphFont"/>
    <w:uiPriority w:val="99"/>
    <w:semiHidden/>
    <w:unhideWhenUsed/>
    <w:rsid w:val="00F85134"/>
    <w:rPr>
      <w:vertAlign w:val="superscript"/>
    </w:rPr>
  </w:style>
  <w:style w:type="character" w:styleId="Hyperlink">
    <w:name w:val="Hyperlink"/>
    <w:basedOn w:val="DefaultParagraphFont"/>
    <w:rsid w:val="004C1B00"/>
    <w:rPr>
      <w:color w:val="0000FF"/>
      <w:u w:val="single"/>
    </w:rPr>
  </w:style>
  <w:style w:type="paragraph" w:styleId="ListParagraph">
    <w:name w:val="List Paragraph"/>
    <w:basedOn w:val="Normal"/>
    <w:uiPriority w:val="34"/>
    <w:qFormat/>
    <w:rsid w:val="003466C6"/>
    <w:pPr>
      <w:ind w:left="720"/>
      <w:contextualSpacing/>
    </w:pPr>
  </w:style>
  <w:style w:type="paragraph" w:styleId="BalloonText">
    <w:name w:val="Balloon Text"/>
    <w:basedOn w:val="Normal"/>
    <w:link w:val="BalloonTextChar"/>
    <w:uiPriority w:val="99"/>
    <w:semiHidden/>
    <w:unhideWhenUsed/>
    <w:rsid w:val="00996BCA"/>
    <w:rPr>
      <w:rFonts w:ascii="Tahoma" w:hAnsi="Tahoma" w:cs="Tahoma"/>
      <w:sz w:val="16"/>
      <w:szCs w:val="16"/>
    </w:rPr>
  </w:style>
  <w:style w:type="character" w:customStyle="1" w:styleId="BalloonTextChar">
    <w:name w:val="Balloon Text Char"/>
    <w:basedOn w:val="DefaultParagraphFont"/>
    <w:link w:val="BalloonText"/>
    <w:uiPriority w:val="99"/>
    <w:semiHidden/>
    <w:rsid w:val="00996BCA"/>
    <w:rPr>
      <w:rFonts w:ascii="Tahoma" w:hAnsi="Tahoma" w:cs="Tahoma"/>
      <w:sz w:val="16"/>
      <w:szCs w:val="16"/>
    </w:rPr>
  </w:style>
  <w:style w:type="character" w:styleId="FollowedHyperlink">
    <w:name w:val="FollowedHyperlink"/>
    <w:basedOn w:val="DefaultParagraphFont"/>
    <w:uiPriority w:val="99"/>
    <w:semiHidden/>
    <w:unhideWhenUsed/>
    <w:rsid w:val="00CB7294"/>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294408474">
      <w:bodyDiv w:val="1"/>
      <w:marLeft w:val="0"/>
      <w:marRight w:val="0"/>
      <w:marTop w:val="0"/>
      <w:marBottom w:val="0"/>
      <w:divBdr>
        <w:top w:val="none" w:sz="0" w:space="0" w:color="auto"/>
        <w:left w:val="none" w:sz="0" w:space="0" w:color="auto"/>
        <w:bottom w:val="none" w:sz="0" w:space="0" w:color="auto"/>
        <w:right w:val="none" w:sz="0" w:space="0" w:color="auto"/>
      </w:divBdr>
    </w:div>
    <w:div w:id="313074765">
      <w:bodyDiv w:val="1"/>
      <w:marLeft w:val="0"/>
      <w:marRight w:val="0"/>
      <w:marTop w:val="0"/>
      <w:marBottom w:val="0"/>
      <w:divBdr>
        <w:top w:val="none" w:sz="0" w:space="0" w:color="auto"/>
        <w:left w:val="none" w:sz="0" w:space="0" w:color="auto"/>
        <w:bottom w:val="none" w:sz="0" w:space="0" w:color="auto"/>
        <w:right w:val="none" w:sz="0" w:space="0" w:color="auto"/>
      </w:divBdr>
    </w:div>
    <w:div w:id="423306887">
      <w:bodyDiv w:val="1"/>
      <w:marLeft w:val="0"/>
      <w:marRight w:val="0"/>
      <w:marTop w:val="0"/>
      <w:marBottom w:val="0"/>
      <w:divBdr>
        <w:top w:val="none" w:sz="0" w:space="0" w:color="auto"/>
        <w:left w:val="none" w:sz="0" w:space="0" w:color="auto"/>
        <w:bottom w:val="none" w:sz="0" w:space="0" w:color="auto"/>
        <w:right w:val="none" w:sz="0" w:space="0" w:color="auto"/>
      </w:divBdr>
    </w:div>
    <w:div w:id="1184712070">
      <w:bodyDiv w:val="1"/>
      <w:marLeft w:val="0"/>
      <w:marRight w:val="0"/>
      <w:marTop w:val="0"/>
      <w:marBottom w:val="0"/>
      <w:divBdr>
        <w:top w:val="none" w:sz="0" w:space="0" w:color="auto"/>
        <w:left w:val="none" w:sz="0" w:space="0" w:color="auto"/>
        <w:bottom w:val="none" w:sz="0" w:space="0" w:color="auto"/>
        <w:right w:val="none" w:sz="0" w:space="0" w:color="auto"/>
      </w:divBdr>
    </w:div>
    <w:div w:id="1902862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endnotes.xml.rels><?xml version="1.0" encoding="UTF-8" standalone="yes"?>
<Relationships xmlns="http://schemas.openxmlformats.org/package/2006/relationships"><Relationship Id="rId2" Type="http://schemas.openxmlformats.org/officeDocument/2006/relationships/hyperlink" Target="http://archive.ifla.org/VII/s13/frbr/frbr_2008.pdf" TargetMode="External"/><Relationship Id="rId1" Type="http://schemas.openxmlformats.org/officeDocument/2006/relationships/hyperlink" Target="http://www.oclc.org/research/projects/frbr/default.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E9BAAC-CDBA-4375-954D-314C243591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641</Words>
  <Characters>3655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 O'Neill</dc:creator>
  <cp:keywords/>
  <dc:description/>
  <cp:lastModifiedBy>Ed O'Neill</cp:lastModifiedBy>
  <cp:revision>2</cp:revision>
  <dcterms:created xsi:type="dcterms:W3CDTF">2010-09-20T15:41:00Z</dcterms:created>
  <dcterms:modified xsi:type="dcterms:W3CDTF">2010-09-20T15:41:00Z</dcterms:modified>
</cp:coreProperties>
</file>